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8247C" w14:textId="5137DFB4"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10</w:t>
      </w:r>
      <w:r w:rsidR="00E51930" w:rsidRPr="00614DD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4E2C37" w:rsidRPr="004E2C37">
        <w:rPr>
          <w:rFonts w:ascii="Arial" w:eastAsia="SimSun" w:hAnsi="Arial" w:cs="Times New Roman"/>
          <w:b/>
          <w:bCs/>
          <w:sz w:val="24"/>
          <w:szCs w:val="20"/>
          <w:lang w:val="en-US" w:eastAsia="ja-JP"/>
        </w:rPr>
        <w:t>R4-24057</w:t>
      </w:r>
      <w:r w:rsidR="004E2C37">
        <w:rPr>
          <w:rFonts w:ascii="Arial" w:eastAsia="SimSun" w:hAnsi="Arial" w:cs="Times New Roman"/>
          <w:b/>
          <w:bCs/>
          <w:sz w:val="24"/>
          <w:szCs w:val="20"/>
          <w:lang w:val="en-US" w:eastAsia="ja-JP"/>
        </w:rPr>
        <w:t>50</w:t>
      </w:r>
    </w:p>
    <w:p w14:paraId="37FC618B" w14:textId="77777777" w:rsidR="00841BCD" w:rsidRPr="00614DD8" w:rsidRDefault="00E5193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614DD8">
        <w:rPr>
          <w:rFonts w:ascii="Arial" w:eastAsia="SimSun" w:hAnsi="Arial" w:cs="Times New Roman"/>
          <w:b/>
          <w:sz w:val="24"/>
          <w:szCs w:val="20"/>
          <w:lang w:val="en-US"/>
        </w:rPr>
        <w:t>Changsha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April 15</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 xml:space="preserve"> April 19</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6836E9AF"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DAFD6C3"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7DCEB7CD" w14:textId="17A3D206"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4E27FA">
        <w:rPr>
          <w:rFonts w:ascii="Arial" w:eastAsia="Calibri" w:hAnsi="Arial" w:cs="Arial"/>
          <w:b/>
          <w:bCs/>
          <w:sz w:val="24"/>
          <w:lang w:val="en-US"/>
        </w:rPr>
        <w:t>Maintenance aspects of network verified UE location</w:t>
      </w:r>
    </w:p>
    <w:p w14:paraId="7E6E1FD1" w14:textId="489A6483" w:rsidR="00841BCD" w:rsidRPr="00CA1D00" w:rsidRDefault="00841BCD" w:rsidP="00841BCD">
      <w:pPr>
        <w:tabs>
          <w:tab w:val="left" w:pos="1985"/>
        </w:tabs>
        <w:spacing w:after="120" w:line="240" w:lineRule="auto"/>
        <w:rPr>
          <w:rFonts w:ascii="Arial" w:eastAsia="MS Mincho" w:hAnsi="Arial" w:cs="Arial"/>
          <w:b/>
          <w:bCs/>
          <w:sz w:val="24"/>
          <w:szCs w:val="20"/>
          <w:lang w:val="pt-BR"/>
        </w:rPr>
      </w:pPr>
      <w:r w:rsidRPr="00CA1D00">
        <w:rPr>
          <w:rFonts w:ascii="Arial" w:eastAsia="MS Mincho" w:hAnsi="Arial" w:cs="Arial"/>
          <w:b/>
          <w:bCs/>
          <w:sz w:val="24"/>
          <w:szCs w:val="20"/>
          <w:lang w:val="pt-BR"/>
        </w:rPr>
        <w:t>Agenda item:</w:t>
      </w:r>
      <w:r w:rsidRPr="00CA1D00">
        <w:rPr>
          <w:rFonts w:ascii="Arial" w:eastAsia="MS Mincho" w:hAnsi="Arial" w:cs="Arial"/>
          <w:b/>
          <w:bCs/>
          <w:sz w:val="24"/>
          <w:szCs w:val="20"/>
          <w:lang w:val="pt-BR"/>
        </w:rPr>
        <w:tab/>
      </w:r>
      <w:r w:rsidR="00CA1D00" w:rsidRPr="00CA1D00">
        <w:rPr>
          <w:rFonts w:ascii="Arial" w:eastAsia="MS Mincho" w:hAnsi="Arial" w:cs="Arial"/>
          <w:b/>
          <w:bCs/>
          <w:sz w:val="24"/>
          <w:szCs w:val="20"/>
          <w:lang w:val="pt-BR"/>
        </w:rPr>
        <w:t>6.16.6.</w:t>
      </w:r>
      <w:r w:rsidR="001C03CB">
        <w:rPr>
          <w:rFonts w:ascii="Arial" w:eastAsia="MS Mincho" w:hAnsi="Arial" w:cs="Arial"/>
          <w:b/>
          <w:bCs/>
          <w:sz w:val="24"/>
          <w:szCs w:val="20"/>
          <w:lang w:val="pt-BR"/>
        </w:rPr>
        <w:t>2</w:t>
      </w:r>
    </w:p>
    <w:p w14:paraId="61C787F0"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3EB6FB7F" w14:textId="77777777" w:rsidR="00E323E9" w:rsidRPr="00614DD8" w:rsidRDefault="00E323E9" w:rsidP="00841BCD">
      <w:pPr>
        <w:tabs>
          <w:tab w:val="left" w:pos="1985"/>
        </w:tabs>
        <w:rPr>
          <w:rFonts w:ascii="Arial" w:eastAsia="Calibri" w:hAnsi="Arial" w:cs="Arial"/>
          <w:b/>
          <w:bCs/>
          <w:sz w:val="24"/>
          <w:lang w:val="en-US"/>
        </w:rPr>
      </w:pPr>
    </w:p>
    <w:p w14:paraId="0CDB13E7"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877CF82" w14:textId="6C693287" w:rsidR="00FB0590" w:rsidRPr="008C39F7" w:rsidRDefault="00FB0590" w:rsidP="00FB0590">
      <w:r w:rsidRPr="00FB0590">
        <w:t xml:space="preserve"> </w:t>
      </w:r>
      <w:r w:rsidRPr="00031914">
        <w:t xml:space="preserve">The NTN WI, as presented in [1], includes </w:t>
      </w:r>
      <w:r>
        <w:t>objectives for the NTN enhancements in Rel-18, including the introduction of a feature of network verified UE location.:</w:t>
      </w:r>
    </w:p>
    <w:p w14:paraId="2760A06B" w14:textId="77777777" w:rsidR="00FB0590" w:rsidRDefault="00FB0590" w:rsidP="00FB0590"/>
    <w:tbl>
      <w:tblPr>
        <w:tblStyle w:val="TableGrid"/>
        <w:tblW w:w="0" w:type="auto"/>
        <w:jc w:val="center"/>
        <w:tblLook w:val="04A0" w:firstRow="1" w:lastRow="0" w:firstColumn="1" w:lastColumn="0" w:noHBand="0" w:noVBand="1"/>
      </w:tblPr>
      <w:tblGrid>
        <w:gridCol w:w="9000"/>
      </w:tblGrid>
      <w:tr w:rsidR="00FB0590" w:rsidRPr="008C39F7" w14:paraId="19874C74" w14:textId="77777777" w:rsidTr="00C53697">
        <w:trPr>
          <w:jc w:val="center"/>
        </w:trPr>
        <w:tc>
          <w:tcPr>
            <w:tcW w:w="9000" w:type="dxa"/>
          </w:tcPr>
          <w:p w14:paraId="40F6FBD1" w14:textId="77777777" w:rsidR="00FB0590" w:rsidRDefault="00FB0590" w:rsidP="00C53697">
            <w:pPr>
              <w:rPr>
                <w:bCs/>
              </w:rPr>
            </w:pPr>
            <w:r>
              <w:rPr>
                <w:bCs/>
              </w:rPr>
              <w:t>4.1.3</w:t>
            </w:r>
            <w:r>
              <w:rPr>
                <w:bCs/>
              </w:rPr>
              <w:tab/>
              <w:t xml:space="preserve">Network verified UE </w:t>
            </w:r>
            <w:proofErr w:type="gramStart"/>
            <w:r>
              <w:rPr>
                <w:bCs/>
              </w:rPr>
              <w:t>location</w:t>
            </w:r>
            <w:proofErr w:type="gramEnd"/>
          </w:p>
          <w:p w14:paraId="5E275DAF" w14:textId="77777777" w:rsidR="00FB0590" w:rsidRDefault="00FB0590" w:rsidP="00C53697">
            <w:pPr>
              <w:rPr>
                <w:bCs/>
              </w:rPr>
            </w:pPr>
          </w:p>
          <w:p w14:paraId="2741FDD5" w14:textId="77777777" w:rsidR="00FB0590" w:rsidRDefault="00FB0590" w:rsidP="00C53697">
            <w:pPr>
              <w:rPr>
                <w:bCs/>
                <w:highlight w:val="yellow"/>
              </w:rPr>
            </w:pPr>
          </w:p>
          <w:p w14:paraId="29B3A681" w14:textId="77777777" w:rsidR="00FB0590" w:rsidRDefault="00FB0590" w:rsidP="00C53697">
            <w:pPr>
              <w:rPr>
                <w:bCs/>
              </w:rPr>
            </w:pPr>
            <w:r>
              <w:rPr>
                <w:bCs/>
              </w:rPr>
              <w:t>Based on RAN1 conclusions of the study phase, RAN to prioritize the specification of necessary enhancements to multi-RTT to support the network verified UE location in NTN assuming a single satellite in view [RAN1, 2, 3, 4]. DL-</w:t>
            </w:r>
            <w:proofErr w:type="spellStart"/>
            <w:r>
              <w:rPr>
                <w:bCs/>
              </w:rPr>
              <w:t>TDoA</w:t>
            </w:r>
            <w:proofErr w:type="spellEnd"/>
            <w:r>
              <w:rPr>
                <w:bCs/>
              </w:rPr>
              <w:t xml:space="preserve"> methods for verification may be considered as lower priority and if time permits and condition in Note is satisfied.</w:t>
            </w:r>
          </w:p>
          <w:p w14:paraId="6C075955" w14:textId="77777777" w:rsidR="00FB0590" w:rsidRDefault="00FB0590" w:rsidP="00C53697">
            <w:pPr>
              <w:rPr>
                <w:bCs/>
              </w:rPr>
            </w:pPr>
          </w:p>
          <w:p w14:paraId="70FB141A" w14:textId="77777777" w:rsidR="00FB0590" w:rsidRDefault="00FB0590" w:rsidP="00C53697">
            <w:pPr>
              <w:rPr>
                <w:bCs/>
              </w:rPr>
            </w:pPr>
            <w:r>
              <w:rPr>
                <w:bCs/>
              </w:rPr>
              <w:t xml:space="preserve">Note 1: Enhancements assume reuse of the RAT dependent positioning </w:t>
            </w:r>
            <w:proofErr w:type="gramStart"/>
            <w:r>
              <w:rPr>
                <w:bCs/>
              </w:rPr>
              <w:t>framework</w:t>
            </w:r>
            <w:proofErr w:type="gramEnd"/>
          </w:p>
          <w:p w14:paraId="6B3F1DF5" w14:textId="77777777" w:rsidR="00FB0590" w:rsidRDefault="00FB0590" w:rsidP="00C53697">
            <w:pPr>
              <w:rPr>
                <w:bCs/>
              </w:rPr>
            </w:pPr>
            <w:r>
              <w:rPr>
                <w:bCs/>
              </w:rPr>
              <w:t xml:space="preserve">Note 2: The specification of DL-TDOA enhancements will be subject to the study of the impact of realistic UE clock drift onto DL-TDOA </w:t>
            </w:r>
            <w:proofErr w:type="gramStart"/>
            <w:r>
              <w:rPr>
                <w:bCs/>
              </w:rPr>
              <w:t>performance</w:t>
            </w:r>
            <w:proofErr w:type="gramEnd"/>
          </w:p>
          <w:p w14:paraId="6F6D2B39" w14:textId="77777777" w:rsidR="00FB0590" w:rsidRDefault="00FB0590" w:rsidP="00C53697">
            <w:pPr>
              <w:rPr>
                <w:bCs/>
              </w:rPr>
            </w:pPr>
            <w:r>
              <w:rPr>
                <w:bCs/>
              </w:rPr>
              <w:t>Note 3: The target accuracy for position verification purposes is as documented in clause « recommendations » of the 3GPP TR 38.882 (i.e. 10 km granularity)</w:t>
            </w:r>
          </w:p>
          <w:p w14:paraId="4A202736" w14:textId="77777777" w:rsidR="00FB0590" w:rsidRDefault="00FB0590" w:rsidP="00C53697">
            <w:pPr>
              <w:rPr>
                <w:bCs/>
              </w:rPr>
            </w:pPr>
            <w:r>
              <w:rPr>
                <w:bCs/>
              </w:rPr>
              <w:t xml:space="preserve">Note 4 : Multiple satellite in view by the UE may be considered if time </w:t>
            </w:r>
            <w:proofErr w:type="gramStart"/>
            <w:r>
              <w:rPr>
                <w:bCs/>
              </w:rPr>
              <w:t>allows</w:t>
            </w:r>
            <w:proofErr w:type="gramEnd"/>
          </w:p>
          <w:p w14:paraId="4E8D260C" w14:textId="77777777" w:rsidR="00FB0590" w:rsidRDefault="00FB0590" w:rsidP="00C53697">
            <w:pPr>
              <w:rPr>
                <w:bCs/>
              </w:rPr>
            </w:pPr>
            <w:r>
              <w:rPr>
                <w:bCs/>
              </w:rPr>
              <w:t xml:space="preserve">Note 5 : The enhancements may be subject to relevant SA WGs (e.g. SA3/SA3-LI) </w:t>
            </w:r>
            <w:proofErr w:type="gramStart"/>
            <w:r>
              <w:rPr>
                <w:bCs/>
              </w:rPr>
              <w:t>feedbacks</w:t>
            </w:r>
            <w:proofErr w:type="gramEnd"/>
            <w:r>
              <w:rPr>
                <w:bCs/>
              </w:rPr>
              <w:t xml:space="preserve"> on the reliability of UE reports involved</w:t>
            </w:r>
          </w:p>
          <w:p w14:paraId="17F975A0" w14:textId="77777777" w:rsidR="00FB0590" w:rsidRDefault="00FB0590" w:rsidP="00C53697">
            <w:pPr>
              <w:rPr>
                <w:bCs/>
              </w:rPr>
            </w:pPr>
            <w:r>
              <w:rPr>
                <w:bCs/>
              </w:rPr>
              <w:t xml:space="preserve">Note 6 : The enhancements should take into account the mirror-image </w:t>
            </w:r>
            <w:proofErr w:type="gramStart"/>
            <w:r>
              <w:rPr>
                <w:bCs/>
              </w:rPr>
              <w:t>ambiguity</w:t>
            </w:r>
            <w:proofErr w:type="gramEnd"/>
          </w:p>
          <w:p w14:paraId="582237BE" w14:textId="77777777" w:rsidR="00FB0590" w:rsidRDefault="00FB0590" w:rsidP="00C53697">
            <w:pPr>
              <w:rPr>
                <w:bCs/>
              </w:rPr>
            </w:pPr>
            <w:r>
              <w:rPr>
                <w:bCs/>
              </w:rPr>
              <w:t xml:space="preserve">Note 7 : Network verified UE location is an optional UE </w:t>
            </w:r>
            <w:proofErr w:type="gramStart"/>
            <w:r>
              <w:rPr>
                <w:bCs/>
              </w:rPr>
              <w:t>feature</w:t>
            </w:r>
            <w:proofErr w:type="gramEnd"/>
          </w:p>
          <w:p w14:paraId="33C14BD7" w14:textId="77777777" w:rsidR="00FB0590" w:rsidRPr="008C39F7" w:rsidRDefault="00FB0590" w:rsidP="00C53697"/>
        </w:tc>
      </w:tr>
    </w:tbl>
    <w:p w14:paraId="2540763E" w14:textId="77777777" w:rsidR="0060543D" w:rsidRDefault="0060543D" w:rsidP="005C23A4"/>
    <w:p w14:paraId="775F4264" w14:textId="399E3CDE" w:rsidR="00FB0590" w:rsidRDefault="00FB0590" w:rsidP="005C23A4">
      <w:r>
        <w:t>The present document will discuss maintenance aspects related to the agreements made for this topic, such as:</w:t>
      </w:r>
    </w:p>
    <w:p w14:paraId="2442AD16" w14:textId="2F7EABEA" w:rsidR="00FB0590" w:rsidRDefault="00FB0590" w:rsidP="00FB0590">
      <w:pPr>
        <w:pStyle w:val="ListParagraph"/>
        <w:numPr>
          <w:ilvl w:val="0"/>
          <w:numId w:val="32"/>
        </w:numPr>
      </w:pPr>
      <w:r>
        <w:t>The impact of satellite switching with re-sync</w:t>
      </w:r>
    </w:p>
    <w:p w14:paraId="79473B0E" w14:textId="56FFF122" w:rsidR="00FB0590" w:rsidRPr="00FB0590" w:rsidRDefault="00FB0590" w:rsidP="00FB0590">
      <w:pPr>
        <w:pStyle w:val="ListParagraph"/>
        <w:numPr>
          <w:ilvl w:val="0"/>
          <w:numId w:val="32"/>
        </w:numPr>
      </w:pPr>
      <w:r>
        <w:t>The impact of UE autonomous updates on Timing Advance, caused by UE specific TA or by Common TA variation.</w:t>
      </w:r>
    </w:p>
    <w:p w14:paraId="3504E238" w14:textId="77777777" w:rsidR="003B659E" w:rsidRDefault="003B659E" w:rsidP="00AE56B1">
      <w:pPr>
        <w:pStyle w:val="RAN4H1"/>
        <w:rPr>
          <w:lang w:val="en-US"/>
        </w:rPr>
      </w:pPr>
      <w:bookmarkStart w:id="4" w:name="_Toc116995842"/>
      <w:r w:rsidRPr="00614DD8">
        <w:rPr>
          <w:lang w:val="en-US"/>
        </w:rPr>
        <w:t>Discussion</w:t>
      </w:r>
      <w:bookmarkEnd w:id="4"/>
    </w:p>
    <w:p w14:paraId="47EBBCC5" w14:textId="6C6BDD71" w:rsidR="00FF4578" w:rsidRPr="00FF4578" w:rsidRDefault="00FF4578" w:rsidP="00FF4578">
      <w:pPr>
        <w:rPr>
          <w:lang w:val="en-US"/>
        </w:rPr>
      </w:pPr>
      <w:r>
        <w:rPr>
          <w:lang w:val="en-US"/>
        </w:rPr>
        <w:t xml:space="preserve">In the discussions below, unless stated otherwise, the issue number is related to the issue contained in the Way Forward from RAN #110 </w:t>
      </w:r>
      <w:r>
        <w:rPr>
          <w:lang w:val="en-US"/>
        </w:rPr>
        <w:fldChar w:fldCharType="begin"/>
      </w:r>
      <w:r>
        <w:rPr>
          <w:lang w:val="en-US"/>
        </w:rPr>
        <w:instrText xml:space="preserve"> REF _Ref163464365 \r \h </w:instrText>
      </w:r>
      <w:r>
        <w:rPr>
          <w:lang w:val="en-US"/>
        </w:rPr>
      </w:r>
      <w:r>
        <w:rPr>
          <w:lang w:val="en-US"/>
        </w:rPr>
        <w:fldChar w:fldCharType="separate"/>
      </w:r>
      <w:r>
        <w:rPr>
          <w:lang w:val="en-US"/>
        </w:rPr>
        <w:t>[2]</w:t>
      </w:r>
      <w:r>
        <w:rPr>
          <w:lang w:val="en-US"/>
        </w:rPr>
        <w:fldChar w:fldCharType="end"/>
      </w:r>
      <w:r>
        <w:rPr>
          <w:lang w:val="en-US"/>
        </w:rPr>
        <w:t>.</w:t>
      </w:r>
    </w:p>
    <w:p w14:paraId="6EBA24A8" w14:textId="4CF0447F" w:rsidR="00FB0590" w:rsidRDefault="00FB0590" w:rsidP="00FB0590">
      <w:pPr>
        <w:pStyle w:val="RAN4H2"/>
      </w:pPr>
      <w:r>
        <w:t xml:space="preserve">Impact of </w:t>
      </w:r>
      <w:r w:rsidRPr="00FB0590">
        <w:t>Satellite switching with re-sync</w:t>
      </w:r>
      <w:r w:rsidR="002F57BF">
        <w:t xml:space="preserve"> (Issue 3.5)</w:t>
      </w:r>
    </w:p>
    <w:p w14:paraId="6CD280E5" w14:textId="77777777" w:rsidR="00FB0590" w:rsidRDefault="00FB0590" w:rsidP="00FB0590">
      <w:proofErr w:type="gramStart"/>
      <w:r>
        <w:t>It is clear that, from</w:t>
      </w:r>
      <w:proofErr w:type="gramEnd"/>
      <w:r>
        <w:t xml:space="preserve"> legacy specification, that modifications in the SRS signal would cause the measurement requirements to not apply. The simple modification of PCELL or SCELL would not be sufficient to cause the measurements to be restarted, rather the reconfiguration of the SRS would trigger it. </w:t>
      </w:r>
    </w:p>
    <w:p w14:paraId="761D285B" w14:textId="2C0CEFBF" w:rsidR="00FB0590" w:rsidRDefault="00FB0590" w:rsidP="00FB0590">
      <w:pPr>
        <w:pStyle w:val="RAN4observation0"/>
      </w:pPr>
      <w:bookmarkStart w:id="5" w:name="_Toc163499193"/>
      <w:r>
        <w:lastRenderedPageBreak/>
        <w:t xml:space="preserve">In previous specification, the modification of a PCELL or SCELL would not be sufficient to cause measurements to be restarted, </w:t>
      </w:r>
      <w:proofErr w:type="gramStart"/>
      <w:r>
        <w:t>as long as</w:t>
      </w:r>
      <w:proofErr w:type="gramEnd"/>
      <w:r>
        <w:t xml:space="preserve"> SRS was not reconfigured.</w:t>
      </w:r>
      <w:bookmarkEnd w:id="5"/>
      <w:r>
        <w:t xml:space="preserve"> </w:t>
      </w:r>
    </w:p>
    <w:tbl>
      <w:tblPr>
        <w:tblStyle w:val="TableGrid"/>
        <w:tblW w:w="0" w:type="auto"/>
        <w:tblLook w:val="04A0" w:firstRow="1" w:lastRow="0" w:firstColumn="1" w:lastColumn="0" w:noHBand="0" w:noVBand="1"/>
      </w:tblPr>
      <w:tblGrid>
        <w:gridCol w:w="9617"/>
      </w:tblGrid>
      <w:tr w:rsidR="00FB0590" w14:paraId="7D9DC260" w14:textId="77777777" w:rsidTr="00C53697">
        <w:tc>
          <w:tcPr>
            <w:tcW w:w="9617" w:type="dxa"/>
          </w:tcPr>
          <w:p w14:paraId="57A2177B" w14:textId="77777777" w:rsidR="00FB0590" w:rsidRDefault="00FB0590" w:rsidP="00C53697">
            <w:pPr>
              <w:pStyle w:val="Heading4"/>
            </w:pPr>
            <w:r>
              <w:t>9.9.4.5 Measurement Accuracy Requirements</w:t>
            </w:r>
          </w:p>
          <w:p w14:paraId="006B9D3C" w14:textId="77777777" w:rsidR="00FB0590" w:rsidRDefault="00FB0590" w:rsidP="00C53697"/>
          <w:p w14:paraId="3B7BA837" w14:textId="77777777" w:rsidR="00FB0590" w:rsidRDefault="00FB0590" w:rsidP="00C53697">
            <w:r>
              <w:t xml:space="preserve">When </w:t>
            </w:r>
            <w:proofErr w:type="spellStart"/>
            <w:r>
              <w:t>PSCell</w:t>
            </w:r>
            <w:proofErr w:type="spellEnd"/>
            <w:r>
              <w:t xml:space="preserve"> or </w:t>
            </w:r>
            <w:proofErr w:type="spellStart"/>
            <w:r>
              <w:t>SCell</w:t>
            </w:r>
            <w:proofErr w:type="spellEnd"/>
            <w:r>
              <w:t xml:space="preserve"> </w:t>
            </w:r>
            <w:r w:rsidRPr="00CD50F3">
              <w:rPr>
                <w:highlight w:val="yellow"/>
              </w:rPr>
              <w:t>addition or release does not cause SRS</w:t>
            </w:r>
            <w:r>
              <w:t xml:space="preserve"> reconfiguration during the measurement period, UE continues the UE Rx-Tx time difference measurement, and the measurement period requirements apply.</w:t>
            </w:r>
          </w:p>
          <w:p w14:paraId="11F12046" w14:textId="77777777" w:rsidR="00FB0590" w:rsidRDefault="00FB0590" w:rsidP="00C53697">
            <w:r>
              <w:t xml:space="preserve">When </w:t>
            </w:r>
            <w:proofErr w:type="spellStart"/>
            <w:r>
              <w:t>PSCell</w:t>
            </w:r>
            <w:proofErr w:type="spellEnd"/>
            <w:r>
              <w:t xml:space="preserve"> or </w:t>
            </w:r>
            <w:proofErr w:type="spellStart"/>
            <w:r>
              <w:t>SCell</w:t>
            </w:r>
            <w:proofErr w:type="spellEnd"/>
            <w:r>
              <w:t xml:space="preserve"> </w:t>
            </w:r>
            <w:r w:rsidRPr="00CD50F3">
              <w:rPr>
                <w:highlight w:val="yellow"/>
              </w:rPr>
              <w:t>addition or release causes SRS reconfiguration</w:t>
            </w:r>
            <w:r>
              <w:t xml:space="preserve"> during the measurement period, UE shall restart the UE Rx-Tx time difference measurement after the SRS reconfiguration on the target cell is complete.</w:t>
            </w:r>
          </w:p>
          <w:p w14:paraId="6A6FD7A6" w14:textId="77777777" w:rsidR="00FB0590" w:rsidRDefault="00FB0590" w:rsidP="00C53697">
            <w:r>
              <w:rPr>
                <w:lang w:eastAsia="zh-CN"/>
              </w:rPr>
              <w:t>W</w:t>
            </w:r>
            <w:r>
              <w:t xml:space="preserve">hen </w:t>
            </w:r>
            <w:r w:rsidRPr="00CD50F3">
              <w:rPr>
                <w:highlight w:val="cyan"/>
              </w:rPr>
              <w:t xml:space="preserve">SRS is reconfigured without </w:t>
            </w:r>
            <w:r w:rsidRPr="00CD50F3">
              <w:rPr>
                <w:highlight w:val="cyan"/>
                <w:lang w:eastAsia="zh-CN"/>
              </w:rPr>
              <w:t xml:space="preserve">serving </w:t>
            </w:r>
            <w:r w:rsidRPr="00CD50F3">
              <w:rPr>
                <w:highlight w:val="cyan"/>
              </w:rPr>
              <w:t xml:space="preserve">cell change during the measurement period, UE shall restart the UE Rx-Tx time difference measurement after the SRS reconfiguration is </w:t>
            </w:r>
            <w:proofErr w:type="spellStart"/>
            <w:r w:rsidRPr="00CD50F3">
              <w:rPr>
                <w:highlight w:val="cyan"/>
              </w:rPr>
              <w:t>complete.</w:t>
            </w:r>
            <w:r>
              <w:t>If</w:t>
            </w:r>
            <w:proofErr w:type="spellEnd"/>
            <w:r>
              <w:t xml:space="preserve">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5FB0DA50" w14:textId="77777777" w:rsidR="00FB0590" w:rsidRDefault="00FB0590" w:rsidP="00C53697">
            <w:r w:rsidRPr="005728E1">
              <w:rPr>
                <w:highlight w:val="yellow"/>
              </w:rPr>
              <w:t>When a serving cell change occurs during the measurement period,</w:t>
            </w:r>
            <w:r>
              <w:t xml:space="preserve"> the UE shall continue and complete the UE Rx-Tx time difference measurement</w:t>
            </w:r>
            <w:r w:rsidRPr="001D452A">
              <w:t xml:space="preserve"> </w:t>
            </w:r>
            <w:r>
              <w:t>provided that the serving cell change does not impact SRS configuration for the UE Rx-Tx time difference measurement.</w:t>
            </w:r>
          </w:p>
          <w:p w14:paraId="1EB41531" w14:textId="77777777" w:rsidR="00FB0590" w:rsidRPr="00CD50F3" w:rsidRDefault="00FB0590" w:rsidP="00C53697">
            <w:pPr>
              <w:pStyle w:val="B1"/>
            </w:pPr>
          </w:p>
        </w:tc>
      </w:tr>
    </w:tbl>
    <w:p w14:paraId="2836EB51" w14:textId="77777777" w:rsidR="00FB0590" w:rsidRDefault="00FB0590" w:rsidP="00FB0590"/>
    <w:p w14:paraId="148920D0" w14:textId="6FD96DC4" w:rsidR="00FB0590" w:rsidRDefault="00FB0590" w:rsidP="00FB0590">
      <w:r>
        <w:t xml:space="preserve">The interpretation is that measurements performed with stable SRS signals can be considered valid. In the case of a satellite switching, even though the configuration of SRS parameters might be considered </w:t>
      </w:r>
      <w:r w:rsidR="00D37E1D">
        <w:t xml:space="preserve">the same, there will be a significant modification in the SRS signal, as there will be an offset in time between the SRS transmitted from the source and target satellites (this might be interpreted similarly as </w:t>
      </w:r>
      <w:proofErr w:type="gramStart"/>
      <w:r w:rsidR="00D37E1D">
        <w:t>a</w:t>
      </w:r>
      <w:proofErr w:type="gramEnd"/>
      <w:r w:rsidR="00D37E1D">
        <w:t xml:space="preserve"> SRS reconfiguration).</w:t>
      </w:r>
    </w:p>
    <w:p w14:paraId="690A9628" w14:textId="581641E3" w:rsidR="00D37E1D" w:rsidRPr="007836C8" w:rsidRDefault="00D37E1D" w:rsidP="00FB0590">
      <w:r>
        <w:t xml:space="preserve">Another trigger to re-start the measurements in this case is related to the significant modification in the UE UL Tx diming relative to the received reference timing, caused by completely different service and feeder link delays experienced by this UE. </w:t>
      </w:r>
    </w:p>
    <w:p w14:paraId="3031A5B8" w14:textId="696FE285" w:rsidR="00D37E1D" w:rsidRDefault="00D37E1D" w:rsidP="00D37E1D">
      <w:pPr>
        <w:pStyle w:val="RAN4observation0"/>
      </w:pPr>
      <w:bookmarkStart w:id="6" w:name="_Toc159261909"/>
      <w:bookmarkStart w:id="7" w:name="_Toc163499194"/>
      <w:r>
        <w:t>There are two justifications for triggering the restart of the measurement after a satellite switching with same PCI:</w:t>
      </w:r>
      <w:bookmarkEnd w:id="7"/>
    </w:p>
    <w:p w14:paraId="3AE6836B" w14:textId="136C607B" w:rsidR="00D37E1D" w:rsidRDefault="00D37E1D" w:rsidP="00D37E1D">
      <w:pPr>
        <w:pStyle w:val="RAN4Observation"/>
        <w:numPr>
          <w:ilvl w:val="1"/>
          <w:numId w:val="6"/>
        </w:numPr>
      </w:pPr>
      <w:r>
        <w:t xml:space="preserve">There will be an offset in time between the SRS transmitted from the source and target satellites (akin to </w:t>
      </w:r>
      <w:proofErr w:type="gramStart"/>
      <w:r>
        <w:t>a</w:t>
      </w:r>
      <w:proofErr w:type="gramEnd"/>
      <w:r>
        <w:t xml:space="preserve"> SRS reconfiguration).</w:t>
      </w:r>
    </w:p>
    <w:p w14:paraId="384C7C8F" w14:textId="77777777" w:rsidR="00D37E1D" w:rsidRDefault="00D37E1D" w:rsidP="00D37E1D">
      <w:pPr>
        <w:pStyle w:val="RAN4Observation"/>
        <w:numPr>
          <w:ilvl w:val="1"/>
          <w:numId w:val="6"/>
        </w:numPr>
      </w:pPr>
      <w:r>
        <w:t xml:space="preserve">The timing advance of the UE will observe a “significant” jump due to completely different service and feeder link delays experienced by this UE. </w:t>
      </w:r>
    </w:p>
    <w:p w14:paraId="04D9B403" w14:textId="77777777" w:rsidR="00D37E1D" w:rsidRPr="00D37E1D" w:rsidRDefault="00D37E1D" w:rsidP="00D37E1D"/>
    <w:p w14:paraId="033E0058" w14:textId="1455873B" w:rsidR="00FB0590" w:rsidRDefault="00FB0590" w:rsidP="00FB0590">
      <w:pPr>
        <w:pStyle w:val="RAN4proposal"/>
        <w:ind w:left="360" w:hanging="360"/>
      </w:pPr>
      <w:bookmarkStart w:id="8" w:name="_Toc163499195"/>
      <w:r>
        <w:t xml:space="preserve">For the satellite switch case (both hard </w:t>
      </w:r>
      <w:proofErr w:type="spellStart"/>
      <w:proofErr w:type="gramStart"/>
      <w:r>
        <w:t>ad</w:t>
      </w:r>
      <w:proofErr w:type="spellEnd"/>
      <w:proofErr w:type="gramEnd"/>
      <w:r>
        <w:t xml:space="preserve"> soft) with same PCI, the UE shall consider the measurements started prior to the satellite switch invalid and restart the UE Rx-Tx time difference measurement after the switch is complete.</w:t>
      </w:r>
      <w:bookmarkEnd w:id="6"/>
      <w:bookmarkEnd w:id="8"/>
    </w:p>
    <w:p w14:paraId="7D66D323" w14:textId="77777777" w:rsidR="008A32D3" w:rsidRDefault="008A32D3" w:rsidP="008A32D3"/>
    <w:p w14:paraId="6F9344CE" w14:textId="75B228E2" w:rsidR="008A32D3" w:rsidRDefault="00D37E1D" w:rsidP="008A32D3">
      <w:pPr>
        <w:pStyle w:val="RAN4H2"/>
      </w:pPr>
      <w:r>
        <w:t>Impact of UE autonomous pre compensation of timing advance</w:t>
      </w:r>
      <w:r w:rsidR="002F57BF">
        <w:t xml:space="preserve"> (Issue 3.4)</w:t>
      </w:r>
    </w:p>
    <w:p w14:paraId="7A98CB21" w14:textId="11BBD3FC" w:rsidR="00D37E1D" w:rsidRDefault="00D37E1D" w:rsidP="00D37E1D">
      <w:r>
        <w:t xml:space="preserve">When UE is configured with </w:t>
      </w:r>
      <w:r>
        <w:rPr>
          <w:i/>
          <w:iCs/>
        </w:rPr>
        <w:t xml:space="preserve">NR-Multi-RTT, </w:t>
      </w:r>
      <w:r>
        <w:t xml:space="preserve">there are some </w:t>
      </w:r>
      <w:proofErr w:type="gramStart"/>
      <w:r>
        <w:t>provision</w:t>
      </w:r>
      <w:proofErr w:type="gramEnd"/>
      <w:r>
        <w:t xml:space="preserve"> of the applicability of the UE RX-TX Time difference estimation based on modifications in the UE transmit timing (which is one of the objects being measured):</w:t>
      </w:r>
    </w:p>
    <w:p w14:paraId="0AE6D080" w14:textId="77777777" w:rsidR="00D37E1D" w:rsidRPr="001A6DB0" w:rsidRDefault="00D37E1D" w:rsidP="00D37E1D">
      <w:pPr>
        <w:pStyle w:val="ListParagraph"/>
        <w:numPr>
          <w:ilvl w:val="0"/>
          <w:numId w:val="33"/>
        </w:numPr>
        <w:rPr>
          <w:highlight w:val="cyan"/>
        </w:rPr>
      </w:pPr>
      <w:proofErr w:type="spellStart"/>
      <w:r w:rsidRPr="001A6DB0">
        <w:rPr>
          <w:highlight w:val="cyan"/>
        </w:rPr>
        <w:t>N</w:t>
      </w:r>
      <w:r w:rsidRPr="001A6DB0">
        <w:rPr>
          <w:highlight w:val="cyan"/>
          <w:vertAlign w:val="subscript"/>
        </w:rPr>
        <w:t>TA_offset</w:t>
      </w:r>
      <w:proofErr w:type="spellEnd"/>
      <w:r w:rsidRPr="001A6DB0">
        <w:rPr>
          <w:highlight w:val="cyan"/>
        </w:rPr>
        <w:t xml:space="preserve"> : If the TA offset changes during the measurement period, the measurement requirements do not apply. </w:t>
      </w:r>
    </w:p>
    <w:p w14:paraId="53D96949" w14:textId="77777777" w:rsidR="00D37E1D" w:rsidRPr="001A6DB0" w:rsidRDefault="00001C74" w:rsidP="00D37E1D">
      <w:pPr>
        <w:pStyle w:val="ListParagraph"/>
        <w:numPr>
          <w:ilvl w:val="0"/>
          <w:numId w:val="33"/>
        </w:numPr>
        <w:rPr>
          <w:highlight w:val="cyan"/>
        </w:rPr>
      </w:pPr>
      <m:oMath>
        <m:sSub>
          <m:sSubPr>
            <m:ctrlPr>
              <w:rPr>
                <w:rFonts w:ascii="Cambria Math" w:hAnsi="Cambria Math"/>
                <w:i/>
                <w:highlight w:val="cyan"/>
              </w:rPr>
            </m:ctrlPr>
          </m:sSubPr>
          <m:e>
            <m:r>
              <w:rPr>
                <w:rFonts w:ascii="Cambria Math" w:hAnsi="Cambria Math"/>
                <w:highlight w:val="cyan"/>
              </w:rPr>
              <m:t>N</m:t>
            </m:r>
          </m:e>
          <m:sub>
            <m:r>
              <m:rPr>
                <m:nor/>
              </m:rPr>
              <w:rPr>
                <w:rFonts w:ascii="Cambria Math" w:hAnsi="Cambria Math"/>
                <w:highlight w:val="cyan"/>
              </w:rPr>
              <m:t>TA</m:t>
            </m:r>
          </m:sub>
        </m:sSub>
      </m:oMath>
      <w:r w:rsidR="00D37E1D" w:rsidRPr="001A6DB0">
        <w:rPr>
          <w:rFonts w:eastAsiaTheme="minorEastAsia"/>
          <w:highlight w:val="cyan"/>
        </w:rPr>
        <w:t>: If TA is updated during the measurement period, the measurement requirements do not apply</w:t>
      </w:r>
      <w:r w:rsidR="00D37E1D" w:rsidRPr="001A6DB0">
        <w:rPr>
          <w:highlight w:val="cyan"/>
        </w:rPr>
        <w:t xml:space="preserve">. </w:t>
      </w:r>
    </w:p>
    <w:p w14:paraId="56A8EFFF" w14:textId="77777777" w:rsidR="00D37E1D" w:rsidRPr="001A6DB0" w:rsidRDefault="00D37E1D" w:rsidP="00D37E1D">
      <w:pPr>
        <w:pStyle w:val="ListParagraph"/>
        <w:numPr>
          <w:ilvl w:val="0"/>
          <w:numId w:val="33"/>
        </w:numPr>
        <w:rPr>
          <w:highlight w:val="green"/>
        </w:rPr>
      </w:pPr>
      <w:r w:rsidRPr="001A6DB0">
        <w:rPr>
          <w:highlight w:val="green"/>
        </w:rPr>
        <w:t xml:space="preserve">UE autonomous correction of transmit timing advance: do not impact the applicability of the measurement </w:t>
      </w:r>
      <w:proofErr w:type="gramStart"/>
      <w:r w:rsidRPr="001A6DB0">
        <w:rPr>
          <w:highlight w:val="green"/>
        </w:rPr>
        <w:t>requirements</w:t>
      </w:r>
      <w:proofErr w:type="gramEnd"/>
    </w:p>
    <w:p w14:paraId="002408A5" w14:textId="77777777" w:rsidR="00D37E1D" w:rsidRPr="00D37E1D" w:rsidRDefault="00D37E1D" w:rsidP="00D37E1D"/>
    <w:p w14:paraId="2ACF35B7" w14:textId="52F84C79" w:rsidR="00D37E1D" w:rsidRDefault="00D37E1D" w:rsidP="00D37E1D">
      <w:pPr>
        <w:rPr>
          <w:lang w:val="en-US"/>
        </w:rPr>
      </w:pPr>
      <w:r>
        <w:rPr>
          <w:lang w:val="en-US"/>
        </w:rPr>
        <w:t xml:space="preserve">One possible interpretation is that the UE autonomous update of transmit timing advance, caused by the updates on the UE specific component or the Common Delay component might be considered akin to the UE autonomous correction </w:t>
      </w:r>
      <w:r>
        <w:rPr>
          <w:lang w:val="en-US"/>
        </w:rPr>
        <w:lastRenderedPageBreak/>
        <w:t xml:space="preserve">previously captured in specification. In this case the measurement requirements would be applicable to any NTN UE updating its timing advance autonomously. </w:t>
      </w:r>
    </w:p>
    <w:p w14:paraId="0069C2CB" w14:textId="18972EFD" w:rsidR="00AE5976" w:rsidRDefault="00D37E1D" w:rsidP="00D37E1D">
      <w:r>
        <w:rPr>
          <w:lang w:val="en-US"/>
        </w:rPr>
        <w:t xml:space="preserve">However, it seems in harmony with the specification consider that sudden changes in the UE Transmit Timing Advance would disrupt the measurements, as evidenced by the exception rule added for the cases where UE is applying </w:t>
      </w:r>
      <w:r w:rsidR="00AE5976">
        <w:rPr>
          <w:lang w:val="en-US"/>
        </w:rPr>
        <w:t xml:space="preserve">a TAC (Timing Advance Command) received form the network. </w:t>
      </w:r>
      <w:r w:rsidR="00AE5976">
        <w:t xml:space="preserve">But it is possible for the NW to time when those changes happen, as the NW is in charge to send the TAC. </w:t>
      </w:r>
    </w:p>
    <w:p w14:paraId="3FC43E1A" w14:textId="4388B22E" w:rsidR="00AE5976" w:rsidRDefault="00AE5976" w:rsidP="00AE5976">
      <w:r>
        <w:t>In NTN, t</w:t>
      </w:r>
      <w:r w:rsidRPr="00D2176D">
        <w:t>he value of the adjustments in NTN might be significantly higher when compared to legacy values (</w:t>
      </w:r>
      <w:proofErr w:type="spellStart"/>
      <w:r w:rsidRPr="00D2176D">
        <w:t>Tp</w:t>
      </w:r>
      <w:proofErr w:type="spellEnd"/>
      <w:r w:rsidRPr="00D2176D">
        <w:t xml:space="preserve">, </w:t>
      </w:r>
      <w:proofErr w:type="spellStart"/>
      <w:r w:rsidRPr="00D2176D">
        <w:t>Tq</w:t>
      </w:r>
      <w:proofErr w:type="spellEnd"/>
      <w:r w:rsidRPr="00D2176D">
        <w:t>).</w:t>
      </w:r>
      <w:r>
        <w:t xml:space="preserve"> </w:t>
      </w:r>
      <w:r w:rsidRPr="00D2176D">
        <w:t xml:space="preserve">Therefore, the effect of the UE autonomous pre-compensation on disrupting the UE RX-TX measurement </w:t>
      </w:r>
      <w:r>
        <w:t xml:space="preserve">might not be negligible, although in several cases the total adjustment time might be very low, comparable to the ones addressed by </w:t>
      </w:r>
      <w:proofErr w:type="spellStart"/>
      <w:r>
        <w:t>Tp</w:t>
      </w:r>
      <w:proofErr w:type="spellEnd"/>
      <w:r>
        <w:t xml:space="preserve"> and </w:t>
      </w:r>
      <w:proofErr w:type="spellStart"/>
      <w:r>
        <w:t>Tq</w:t>
      </w:r>
      <w:proofErr w:type="spellEnd"/>
      <w:r>
        <w:t xml:space="preserve"> for the duration of the measurement period.  </w:t>
      </w:r>
    </w:p>
    <w:p w14:paraId="668F4D99" w14:textId="77777777" w:rsidR="00AE5976" w:rsidRDefault="00AE5976" w:rsidP="00AE5976">
      <w:r>
        <w:t xml:space="preserve">Based on this, we propose a mixed approach, where the UE always reports the UE RX-Tx </w:t>
      </w:r>
      <w:proofErr w:type="gramStart"/>
      <w:r>
        <w:t>difference</w:t>
      </w:r>
      <w:proofErr w:type="gramEnd"/>
      <w:r>
        <w:t xml:space="preserve"> but the requirements might be relaxed when the UE is performing “large” adjustments on timing pre-compensation. It is also important to allow the UE to indicate when the transmit timing adjustment might be not as accurate because of large pre-compensation. </w:t>
      </w:r>
    </w:p>
    <w:p w14:paraId="22A0E4D7" w14:textId="77777777" w:rsidR="00AE5976" w:rsidRDefault="00AE5976" w:rsidP="00AE5976">
      <w:r>
        <w:t>Therefore, we propose:</w:t>
      </w:r>
    </w:p>
    <w:p w14:paraId="1177C20F" w14:textId="77777777" w:rsidR="00AE5976" w:rsidRPr="00D2176D" w:rsidRDefault="00AE5976" w:rsidP="00AE5976"/>
    <w:p w14:paraId="3A5C6489" w14:textId="77777777" w:rsidR="00AE5976" w:rsidRDefault="00AE5976" w:rsidP="00AE5976">
      <w:pPr>
        <w:pStyle w:val="RAN4proposal"/>
        <w:ind w:left="360" w:hanging="360"/>
      </w:pPr>
      <w:bookmarkStart w:id="9" w:name="_Toc149937336"/>
      <w:bookmarkStart w:id="10" w:name="_Toc159261906"/>
      <w:bookmarkStart w:id="11" w:name="_Toc142668838"/>
      <w:bookmarkStart w:id="12" w:name="_Toc163499196"/>
      <w:r>
        <w:t xml:space="preserve">If the UE autonomous adjustments in the service link component,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Pr>
          <w:rFonts w:eastAsiaTheme="minorEastAsia"/>
          <w:sz w:val="24"/>
          <w:szCs w:val="24"/>
        </w:rPr>
        <w:t xml:space="preserve">, </w:t>
      </w:r>
      <w:r w:rsidRPr="00A23F69">
        <w:t xml:space="preserve">are </w:t>
      </w:r>
      <w:r>
        <w:t>above</w:t>
      </w:r>
      <w:r w:rsidRPr="00A23F69">
        <w:t xml:space="preserve"> to </w:t>
      </w:r>
      <w:proofErr w:type="spellStart"/>
      <w:r>
        <w:t>T</w:t>
      </w:r>
      <w:r w:rsidRPr="00ED664F">
        <w:rPr>
          <w:vertAlign w:val="subscript"/>
        </w:rPr>
        <w:t>q_NTN</w:t>
      </w:r>
      <w:proofErr w:type="spellEnd"/>
      <w:r>
        <w:t xml:space="preserve"> the UE is required to send the reporting of the service link delay variation.</w:t>
      </w:r>
      <w:bookmarkEnd w:id="9"/>
      <w:bookmarkEnd w:id="10"/>
      <w:bookmarkEnd w:id="12"/>
      <w:r>
        <w:t xml:space="preserve"> </w:t>
      </w:r>
      <w:bookmarkEnd w:id="11"/>
    </w:p>
    <w:p w14:paraId="0589A042" w14:textId="77777777" w:rsidR="00AE5976" w:rsidRDefault="00AE5976" w:rsidP="00AE5976">
      <w:pPr>
        <w:pStyle w:val="RAN4proposal"/>
        <w:ind w:left="360" w:hanging="360"/>
      </w:pPr>
      <w:bookmarkStart w:id="13" w:name="_Toc142668839"/>
      <w:bookmarkStart w:id="14" w:name="_Toc149937337"/>
      <w:bookmarkStart w:id="15" w:name="_Toc159261907"/>
      <w:bookmarkStart w:id="16" w:name="_Toc163499197"/>
      <w:r>
        <w:t xml:space="preserve">When the total autonomous variation applied by the UE in the timing advance during a measurement period (variation of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Pr>
          <w:rFonts w:eastAsiaTheme="minorEastAsia"/>
          <w:sz w:val="24"/>
          <w:szCs w:val="24"/>
        </w:rPr>
        <w:t xml:space="preserve"> +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Pr>
          <w:rFonts w:eastAsiaTheme="minorEastAsia"/>
          <w:sz w:val="24"/>
          <w:szCs w:val="24"/>
        </w:rPr>
        <w:t xml:space="preserve">) </w:t>
      </w:r>
      <w:r w:rsidRPr="00A23F69">
        <w:t>exceeds [</w:t>
      </w:r>
      <w:r>
        <w:t>2,5</w:t>
      </w:r>
      <w:r w:rsidRPr="00A23F69">
        <w:t>]*</w:t>
      </w:r>
      <w:proofErr w:type="spellStart"/>
      <w:r w:rsidRPr="00A23F69">
        <w:t>T</w:t>
      </w:r>
      <w:r w:rsidRPr="00A23F69">
        <w:rPr>
          <w:vertAlign w:val="subscript"/>
        </w:rPr>
        <w:t>p</w:t>
      </w:r>
      <w:proofErr w:type="spellEnd"/>
      <w:r>
        <w:rPr>
          <w:vertAlign w:val="subscript"/>
        </w:rPr>
        <w:t xml:space="preserve"> </w:t>
      </w:r>
      <w:bookmarkEnd w:id="13"/>
      <w:r>
        <w:t xml:space="preserve"> the accuracy requirements might be further relaxed</w:t>
      </w:r>
      <w:bookmarkEnd w:id="14"/>
      <w:r>
        <w:t>.</w:t>
      </w:r>
      <w:bookmarkEnd w:id="15"/>
      <w:bookmarkEnd w:id="16"/>
    </w:p>
    <w:p w14:paraId="0BD5B835" w14:textId="77777777" w:rsidR="00AE5976" w:rsidRDefault="00AE5976" w:rsidP="00AE5976">
      <w:pPr>
        <w:pStyle w:val="RAN4proposal"/>
        <w:ind w:left="360" w:hanging="360"/>
      </w:pPr>
      <w:bookmarkStart w:id="17" w:name="_Toc159261908"/>
      <w:bookmarkStart w:id="18" w:name="_Toc163499198"/>
      <w:r>
        <w:t xml:space="preserve">When the total autonomous variation applied by the UE in the timing advance during a measurement period (variation of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Pr>
          <w:rFonts w:eastAsiaTheme="minorEastAsia"/>
          <w:sz w:val="24"/>
          <w:szCs w:val="24"/>
        </w:rPr>
        <w:t xml:space="preserve"> +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Pr>
          <w:rFonts w:eastAsiaTheme="minorEastAsia"/>
          <w:sz w:val="24"/>
          <w:szCs w:val="24"/>
        </w:rPr>
        <w:t xml:space="preserve">) </w:t>
      </w:r>
      <w:r w:rsidRPr="00A23F69">
        <w:t>exceeds [</w:t>
      </w:r>
      <w:r>
        <w:t>2,5</w:t>
      </w:r>
      <w:r w:rsidRPr="00A23F69">
        <w:t>]*</w:t>
      </w:r>
      <w:proofErr w:type="spellStart"/>
      <w:r w:rsidRPr="00A23F69">
        <w:t>T</w:t>
      </w:r>
      <w:r w:rsidRPr="00A23F69">
        <w:rPr>
          <w:vertAlign w:val="subscript"/>
        </w:rPr>
        <w:t>p</w:t>
      </w:r>
      <w:proofErr w:type="spellEnd"/>
      <w:r>
        <w:rPr>
          <w:vertAlign w:val="subscript"/>
        </w:rPr>
        <w:t xml:space="preserve"> </w:t>
      </w:r>
      <w:r>
        <w:t xml:space="preserve"> the accuracy requirements the UE shall be capable to signal this to the NW.</w:t>
      </w:r>
      <w:bookmarkEnd w:id="18"/>
      <w:r>
        <w:t xml:space="preserve"> </w:t>
      </w:r>
      <w:bookmarkEnd w:id="17"/>
    </w:p>
    <w:p w14:paraId="42D3DA90" w14:textId="738B95F2" w:rsidR="00074890" w:rsidRPr="00C75641" w:rsidRDefault="00074890" w:rsidP="000F74F4">
      <w:pPr>
        <w:rPr>
          <w:rFonts w:cstheme="minorHAnsi"/>
        </w:rPr>
      </w:pPr>
    </w:p>
    <w:p w14:paraId="2996AF9A" w14:textId="77777777" w:rsidR="003F69C7" w:rsidRPr="00614DD8" w:rsidRDefault="003F69C7" w:rsidP="005C23A4">
      <w:pPr>
        <w:rPr>
          <w:lang w:val="en-US"/>
        </w:rPr>
      </w:pPr>
    </w:p>
    <w:p w14:paraId="55E848BB" w14:textId="77777777" w:rsidR="00CD7492" w:rsidRPr="00614DD8" w:rsidRDefault="00CD7492" w:rsidP="00A37002">
      <w:pPr>
        <w:pStyle w:val="RAN4H1"/>
        <w:rPr>
          <w:lang w:val="en-US"/>
        </w:rPr>
      </w:pPr>
      <w:bookmarkStart w:id="19" w:name="_Toc116995848"/>
      <w:r w:rsidRPr="00614DD8">
        <w:rPr>
          <w:lang w:val="en-US"/>
        </w:rPr>
        <w:t>Conclusion</w:t>
      </w:r>
      <w:bookmarkEnd w:id="19"/>
    </w:p>
    <w:p w14:paraId="4B3B1D94" w14:textId="64FA0261" w:rsidR="00381F95" w:rsidRPr="00614DD8" w:rsidRDefault="00E0474D" w:rsidP="00936159">
      <w:pPr>
        <w:rPr>
          <w:lang w:val="en-US"/>
        </w:rPr>
      </w:pPr>
      <w:r>
        <w:rPr>
          <w:lang w:val="en-US"/>
        </w:rPr>
        <w:t xml:space="preserve">In this paper we discussed </w:t>
      </w:r>
      <w:r w:rsidR="000F74F4">
        <w:rPr>
          <w:lang w:val="en-US"/>
        </w:rPr>
        <w:t xml:space="preserve">aspects related to </w:t>
      </w:r>
      <w:r w:rsidR="004E2C37">
        <w:rPr>
          <w:lang w:val="en-US"/>
        </w:rPr>
        <w:t>network verified UE location, and based on the discussion we have the following set of observations and proposals for the maintenance aspects:</w:t>
      </w:r>
      <w:r w:rsidR="000F74F4">
        <w:rPr>
          <w:lang w:val="en-US"/>
        </w:rPr>
        <w:t xml:space="preserve"> </w:t>
      </w:r>
    </w:p>
    <w:bookmarkStart w:id="20" w:name="_Toc116995849"/>
    <w:p w14:paraId="107B83AA" w14:textId="2812FA7E" w:rsidR="004E2C37" w:rsidRDefault="00E0474D">
      <w:pPr>
        <w:pStyle w:val="TOC1"/>
        <w:rPr>
          <w:rFonts w:asciiTheme="minorHAnsi" w:eastAsiaTheme="minorEastAsia" w:hAnsiTheme="minorHAnsi"/>
          <w:b w:val="0"/>
          <w:iCs w:val="0"/>
          <w:kern w:val="2"/>
          <w:sz w:val="22"/>
          <w:lang w:eastAsia="en-GB"/>
          <w14:ligatures w14:val="standardContextual"/>
        </w:rPr>
      </w:pPr>
      <w:r>
        <w:rPr>
          <w:i/>
          <w:iCs w:val="0"/>
          <w:u w:val="single"/>
          <w:lang w:val="en-US"/>
        </w:rPr>
        <w:fldChar w:fldCharType="begin"/>
      </w:r>
      <w:r>
        <w:rPr>
          <w:i/>
          <w:iCs w:val="0"/>
          <w:u w:val="single"/>
          <w:lang w:val="en-US"/>
        </w:rPr>
        <w:instrText xml:space="preserve"> TOC \n \h \z \t "RAN4 proposal;1;RAN4 observation;1" </w:instrText>
      </w:r>
      <w:r>
        <w:rPr>
          <w:i/>
          <w:iCs w:val="0"/>
          <w:u w:val="single"/>
          <w:lang w:val="en-US"/>
        </w:rPr>
        <w:fldChar w:fldCharType="separate"/>
      </w:r>
      <w:hyperlink w:anchor="_Toc163499193" w:history="1">
        <w:r w:rsidR="004E2C37" w:rsidRPr="00956969">
          <w:rPr>
            <w:rStyle w:val="Hyperlink"/>
          </w:rPr>
          <w:t>Observation 1: In previous specification, the modification of a PCELL or SCELL would not be sufficient to cause measurements to be restarted, as long as SRS was not reconfigured.</w:t>
        </w:r>
      </w:hyperlink>
    </w:p>
    <w:p w14:paraId="6D76C5CE" w14:textId="29B4F66C" w:rsidR="004E2C37" w:rsidRDefault="004E2C37">
      <w:pPr>
        <w:pStyle w:val="TOC1"/>
        <w:rPr>
          <w:rFonts w:asciiTheme="minorHAnsi" w:eastAsiaTheme="minorEastAsia" w:hAnsiTheme="minorHAnsi"/>
          <w:b w:val="0"/>
          <w:iCs w:val="0"/>
          <w:kern w:val="2"/>
          <w:sz w:val="22"/>
          <w:lang w:eastAsia="en-GB"/>
          <w14:ligatures w14:val="standardContextual"/>
        </w:rPr>
      </w:pPr>
      <w:hyperlink w:anchor="_Toc163499194" w:history="1">
        <w:r w:rsidRPr="00956969">
          <w:rPr>
            <w:rStyle w:val="Hyperlink"/>
          </w:rPr>
          <w:t>Observation 2: There are two justifications for triggering the restart of the measurement after a satellite switching with same PCI:</w:t>
        </w:r>
      </w:hyperlink>
    </w:p>
    <w:p w14:paraId="008F60C2" w14:textId="21B44E7B" w:rsidR="004E2C37" w:rsidRDefault="004E2C37">
      <w:pPr>
        <w:pStyle w:val="TOC1"/>
        <w:rPr>
          <w:rFonts w:asciiTheme="minorHAnsi" w:eastAsiaTheme="minorEastAsia" w:hAnsiTheme="minorHAnsi"/>
          <w:b w:val="0"/>
          <w:iCs w:val="0"/>
          <w:kern w:val="2"/>
          <w:sz w:val="22"/>
          <w:lang w:eastAsia="en-GB"/>
          <w14:ligatures w14:val="standardContextual"/>
        </w:rPr>
      </w:pPr>
      <w:hyperlink w:anchor="_Toc163499195" w:history="1">
        <w:r w:rsidRPr="00956969">
          <w:rPr>
            <w:rStyle w:val="Hyperlink"/>
          </w:rPr>
          <w:t>Proposal 1: For the satellite switch case (both hard ad soft) with same PCI, the UE shall consider the measurements started prior to the satellite switch invalid and restart the UE Rx-Tx time difference measurement after the switch is complete.</w:t>
        </w:r>
      </w:hyperlink>
    </w:p>
    <w:p w14:paraId="177F9BC4" w14:textId="5C0B3DC1" w:rsidR="004E2C37" w:rsidRDefault="004E2C37">
      <w:pPr>
        <w:pStyle w:val="TOC1"/>
        <w:rPr>
          <w:rFonts w:asciiTheme="minorHAnsi" w:eastAsiaTheme="minorEastAsia" w:hAnsiTheme="minorHAnsi"/>
          <w:b w:val="0"/>
          <w:iCs w:val="0"/>
          <w:kern w:val="2"/>
          <w:sz w:val="22"/>
          <w:lang w:eastAsia="en-GB"/>
          <w14:ligatures w14:val="standardContextual"/>
        </w:rPr>
      </w:pPr>
      <w:hyperlink w:anchor="_Toc163499196" w:history="1">
        <w:r w:rsidRPr="00956969">
          <w:rPr>
            <w:rStyle w:val="Hyperlink"/>
          </w:rPr>
          <w:t xml:space="preserve">Proposal 2: If the UE autonomous adjustments in the service link component, </w:t>
        </w:r>
        <m:oMath>
          <m:r>
            <m:rPr>
              <m:sty m:val="bi"/>
            </m:rPr>
            <w:rPr>
              <w:rStyle w:val="Hyperlink"/>
              <w:rFonts w:ascii="Cambria Math" w:hAnsi="Cambria Math"/>
            </w:rPr>
            <m:t>N</m:t>
          </m:r>
          <m:r>
            <m:rPr>
              <m:nor/>
            </m:rPr>
            <w:rPr>
              <w:rStyle w:val="Hyperlink"/>
              <w:rFonts w:ascii="Cambria Math" w:hAnsi="Cambria Math"/>
            </w:rPr>
            <m:t>TA,adjUE</m:t>
          </m:r>
        </m:oMath>
        <w:r w:rsidRPr="00956969">
          <w:rPr>
            <w:rStyle w:val="Hyperlink"/>
          </w:rPr>
          <w:t>, are above to T</w:t>
        </w:r>
        <w:r w:rsidRPr="00956969">
          <w:rPr>
            <w:rStyle w:val="Hyperlink"/>
            <w:vertAlign w:val="subscript"/>
          </w:rPr>
          <w:t>q_NTN</w:t>
        </w:r>
        <w:r w:rsidRPr="00956969">
          <w:rPr>
            <w:rStyle w:val="Hyperlink"/>
          </w:rPr>
          <w:t xml:space="preserve"> the UE is required to send the reporting of the service link delay variation.</w:t>
        </w:r>
      </w:hyperlink>
    </w:p>
    <w:p w14:paraId="158764E8" w14:textId="409A56C3" w:rsidR="004E2C37" w:rsidRDefault="004E2C37">
      <w:pPr>
        <w:pStyle w:val="TOC1"/>
        <w:rPr>
          <w:rFonts w:asciiTheme="minorHAnsi" w:eastAsiaTheme="minorEastAsia" w:hAnsiTheme="minorHAnsi"/>
          <w:b w:val="0"/>
          <w:iCs w:val="0"/>
          <w:kern w:val="2"/>
          <w:sz w:val="22"/>
          <w:lang w:eastAsia="en-GB"/>
          <w14:ligatures w14:val="standardContextual"/>
        </w:rPr>
      </w:pPr>
      <w:hyperlink w:anchor="_Toc163499197" w:history="1">
        <w:r w:rsidRPr="00956969">
          <w:rPr>
            <w:rStyle w:val="Hyperlink"/>
          </w:rPr>
          <w:t xml:space="preserve">Proposal 3: When the total autonomous variation applied by the UE in the timing advance during a measurement period (variation of </w:t>
        </w:r>
        <m:oMath>
          <m:r>
            <m:rPr>
              <m:sty m:val="bi"/>
            </m:rPr>
            <w:rPr>
              <w:rStyle w:val="Hyperlink"/>
              <w:rFonts w:ascii="Cambria Math" w:hAnsi="Cambria Math"/>
            </w:rPr>
            <m:t>N</m:t>
          </m:r>
          <m:r>
            <m:rPr>
              <m:nor/>
            </m:rPr>
            <w:rPr>
              <w:rStyle w:val="Hyperlink"/>
              <w:rFonts w:ascii="Cambria Math" w:hAnsi="Cambria Math"/>
            </w:rPr>
            <m:t>TA,adjcommon</m:t>
          </m:r>
        </m:oMath>
        <w:r w:rsidRPr="00956969">
          <w:rPr>
            <w:rStyle w:val="Hyperlink"/>
          </w:rPr>
          <w:t xml:space="preserve"> + </w:t>
        </w:r>
        <m:oMath>
          <m:r>
            <m:rPr>
              <m:sty m:val="bi"/>
            </m:rPr>
            <w:rPr>
              <w:rStyle w:val="Hyperlink"/>
              <w:rFonts w:ascii="Cambria Math" w:hAnsi="Cambria Math"/>
            </w:rPr>
            <m:t>N</m:t>
          </m:r>
          <m:r>
            <m:rPr>
              <m:nor/>
            </m:rPr>
            <w:rPr>
              <w:rStyle w:val="Hyperlink"/>
              <w:rFonts w:ascii="Cambria Math" w:hAnsi="Cambria Math"/>
            </w:rPr>
            <m:t>TA,adjUE</m:t>
          </m:r>
        </m:oMath>
        <w:r w:rsidRPr="00956969">
          <w:rPr>
            <w:rStyle w:val="Hyperlink"/>
          </w:rPr>
          <w:t>) exceeds [2,5]*T</w:t>
        </w:r>
        <w:r w:rsidRPr="00956969">
          <w:rPr>
            <w:rStyle w:val="Hyperlink"/>
            <w:vertAlign w:val="subscript"/>
          </w:rPr>
          <w:t xml:space="preserve">p </w:t>
        </w:r>
        <w:r w:rsidRPr="00956969">
          <w:rPr>
            <w:rStyle w:val="Hyperlink"/>
          </w:rPr>
          <w:t xml:space="preserve"> the accuracy requirements might be further relaxed.</w:t>
        </w:r>
      </w:hyperlink>
    </w:p>
    <w:p w14:paraId="0636C7D4" w14:textId="0B0C48CD" w:rsidR="004E2C37" w:rsidRDefault="004E2C37">
      <w:pPr>
        <w:pStyle w:val="TOC1"/>
        <w:rPr>
          <w:rFonts w:asciiTheme="minorHAnsi" w:eastAsiaTheme="minorEastAsia" w:hAnsiTheme="minorHAnsi"/>
          <w:b w:val="0"/>
          <w:iCs w:val="0"/>
          <w:kern w:val="2"/>
          <w:sz w:val="22"/>
          <w:lang w:eastAsia="en-GB"/>
          <w14:ligatures w14:val="standardContextual"/>
        </w:rPr>
      </w:pPr>
      <w:hyperlink w:anchor="_Toc163499198" w:history="1">
        <w:r w:rsidRPr="00956969">
          <w:rPr>
            <w:rStyle w:val="Hyperlink"/>
          </w:rPr>
          <w:t xml:space="preserve">Proposal 4: When the total autonomous variation applied by the UE in the timing advance during a measurement period (variation of </w:t>
        </w:r>
        <m:oMath>
          <m:r>
            <m:rPr>
              <m:sty m:val="bi"/>
            </m:rPr>
            <w:rPr>
              <w:rStyle w:val="Hyperlink"/>
              <w:rFonts w:ascii="Cambria Math" w:hAnsi="Cambria Math"/>
            </w:rPr>
            <m:t>N</m:t>
          </m:r>
          <m:r>
            <m:rPr>
              <m:nor/>
            </m:rPr>
            <w:rPr>
              <w:rStyle w:val="Hyperlink"/>
              <w:rFonts w:ascii="Cambria Math" w:hAnsi="Cambria Math"/>
            </w:rPr>
            <m:t>TA,adjcommon</m:t>
          </m:r>
        </m:oMath>
        <w:r w:rsidRPr="00956969">
          <w:rPr>
            <w:rStyle w:val="Hyperlink"/>
          </w:rPr>
          <w:t xml:space="preserve"> + </w:t>
        </w:r>
        <m:oMath>
          <m:r>
            <m:rPr>
              <m:sty m:val="bi"/>
            </m:rPr>
            <w:rPr>
              <w:rStyle w:val="Hyperlink"/>
              <w:rFonts w:ascii="Cambria Math" w:hAnsi="Cambria Math"/>
            </w:rPr>
            <m:t>N</m:t>
          </m:r>
          <m:r>
            <m:rPr>
              <m:nor/>
            </m:rPr>
            <w:rPr>
              <w:rStyle w:val="Hyperlink"/>
              <w:rFonts w:ascii="Cambria Math" w:hAnsi="Cambria Math"/>
            </w:rPr>
            <m:t>TA,adjUE</m:t>
          </m:r>
        </m:oMath>
        <w:r w:rsidRPr="00956969">
          <w:rPr>
            <w:rStyle w:val="Hyperlink"/>
          </w:rPr>
          <w:t>) exceeds [2,5]*T</w:t>
        </w:r>
        <w:r w:rsidRPr="00956969">
          <w:rPr>
            <w:rStyle w:val="Hyperlink"/>
            <w:vertAlign w:val="subscript"/>
          </w:rPr>
          <w:t xml:space="preserve">p </w:t>
        </w:r>
        <w:r w:rsidRPr="00956969">
          <w:rPr>
            <w:rStyle w:val="Hyperlink"/>
          </w:rPr>
          <w:t xml:space="preserve"> the accuracy requirements the UE shall be capable to signal this to the NW.</w:t>
        </w:r>
      </w:hyperlink>
    </w:p>
    <w:p w14:paraId="1114C48C" w14:textId="7E9CB9EF" w:rsidR="00847264" w:rsidRPr="00614DD8" w:rsidRDefault="00E0474D" w:rsidP="008C39F7">
      <w:pPr>
        <w:rPr>
          <w:lang w:val="en-US"/>
        </w:rPr>
      </w:pPr>
      <w:r>
        <w:rPr>
          <w:i/>
          <w:iCs/>
          <w:u w:val="single"/>
          <w:lang w:val="en-US"/>
        </w:rPr>
        <w:lastRenderedPageBreak/>
        <w:fldChar w:fldCharType="end"/>
      </w:r>
    </w:p>
    <w:p w14:paraId="64C4DE23"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0"/>
    </w:p>
    <w:p w14:paraId="250B22B8" w14:textId="772F81DC" w:rsidR="0086642C" w:rsidRPr="00381F95" w:rsidRDefault="0086642C" w:rsidP="0086642C">
      <w:pPr>
        <w:numPr>
          <w:ilvl w:val="0"/>
          <w:numId w:val="21"/>
        </w:numPr>
        <w:overflowPunct w:val="0"/>
        <w:autoSpaceDE w:val="0"/>
        <w:autoSpaceDN w:val="0"/>
        <w:adjustRightInd w:val="0"/>
        <w:spacing w:after="0" w:line="240" w:lineRule="auto"/>
        <w:jc w:val="both"/>
        <w:textAlignment w:val="baseline"/>
      </w:pPr>
      <w:bookmarkStart w:id="21" w:name="_Ref114500673"/>
      <w:bookmarkStart w:id="22" w:name="_Ref54013899"/>
      <w:bookmarkStart w:id="23" w:name="_Ref141960737"/>
      <w:bookmarkEnd w:id="21"/>
      <w:r w:rsidRPr="00FD51CE">
        <w:t>RP-223534</w:t>
      </w:r>
      <w:r w:rsidRPr="00FF6B64">
        <w:t xml:space="preserve">, </w:t>
      </w:r>
      <w:bookmarkEnd w:id="22"/>
      <w:r w:rsidRPr="00917899">
        <w:rPr>
          <w:i/>
          <w:iCs/>
        </w:rPr>
        <w:t>“NR NTN (Non-Terrestrial Networks) enhancements”</w:t>
      </w:r>
      <w:r>
        <w:t>, Thales</w:t>
      </w:r>
      <w:bookmarkEnd w:id="23"/>
    </w:p>
    <w:p w14:paraId="2D151FD3" w14:textId="5528E6BF" w:rsidR="00E43BF9" w:rsidRDefault="0086642C" w:rsidP="00752091">
      <w:pPr>
        <w:pStyle w:val="ListParagraph"/>
        <w:numPr>
          <w:ilvl w:val="0"/>
          <w:numId w:val="21"/>
        </w:numPr>
        <w:ind w:right="-22"/>
      </w:pPr>
      <w:bookmarkStart w:id="24" w:name="_Ref158818293"/>
      <w:r w:rsidRPr="0086642C">
        <w:t>R4-2403492</w:t>
      </w:r>
      <w:r>
        <w:t xml:space="preserve">, </w:t>
      </w:r>
      <w:r w:rsidRPr="0086642C">
        <w:rPr>
          <w:rFonts w:cs="Arial"/>
          <w:i/>
          <w:iCs/>
          <w:sz w:val="18"/>
          <w:szCs w:val="18"/>
        </w:rPr>
        <w:t xml:space="preserve">WF on NTN RRM requirements, </w:t>
      </w:r>
      <w:r w:rsidRPr="0099133A">
        <w:t xml:space="preserve">Moderator (Qualcomm Incorporated), </w:t>
      </w:r>
      <w:r w:rsidRPr="00381F95">
        <w:t>RAN</w:t>
      </w:r>
      <w:r>
        <w:t>4</w:t>
      </w:r>
      <w:r w:rsidRPr="00381F95">
        <w:t>#1</w:t>
      </w:r>
      <w:r>
        <w:t>10</w:t>
      </w:r>
      <w:r w:rsidRPr="00381F95">
        <w:t xml:space="preserve">, </w:t>
      </w:r>
      <w:bookmarkEnd w:id="24"/>
      <w:r w:rsidRPr="0086642C">
        <w:t>Athens,</w:t>
      </w:r>
      <w:r>
        <w:t xml:space="preserve"> Greece</w:t>
      </w:r>
      <w:r w:rsidRPr="0086642C">
        <w:t xml:space="preserve">, 26 Feb – 01 </w:t>
      </w:r>
      <w:proofErr w:type="gramStart"/>
      <w:r w:rsidRPr="0086642C">
        <w:t>Mar,</w:t>
      </w:r>
      <w:proofErr w:type="gramEnd"/>
      <w:r w:rsidRPr="0086642C">
        <w:t xml:space="preserve"> 2024</w:t>
      </w:r>
    </w:p>
    <w:p w14:paraId="0E0957C3" w14:textId="002F7B1D" w:rsidR="008A32D3" w:rsidRDefault="008A32D3" w:rsidP="008A32D3">
      <w:pPr>
        <w:pStyle w:val="ListParagraph"/>
        <w:numPr>
          <w:ilvl w:val="0"/>
          <w:numId w:val="21"/>
        </w:numPr>
      </w:pPr>
      <w:bookmarkStart w:id="25" w:name="_Ref163475034"/>
      <w:r w:rsidRPr="008A32D3">
        <w:t xml:space="preserve">R4-2402384, Considerations on Satellite Switching with re-sync, Nokia, Nokia Shanghai Bell, RAN4#110, Athens, Greece, 26 Feb – 01 </w:t>
      </w:r>
      <w:proofErr w:type="gramStart"/>
      <w:r w:rsidRPr="008A32D3">
        <w:t>Mar,</w:t>
      </w:r>
      <w:proofErr w:type="gramEnd"/>
      <w:r w:rsidRPr="008A32D3">
        <w:t xml:space="preserve"> 2024</w:t>
      </w:r>
      <w:bookmarkEnd w:id="25"/>
    </w:p>
    <w:p w14:paraId="2F510CD0" w14:textId="27D6CDEF" w:rsidR="0062096E" w:rsidRPr="008A32D3" w:rsidRDefault="0062096E" w:rsidP="0062096E">
      <w:pPr>
        <w:pStyle w:val="ListParagraph"/>
        <w:numPr>
          <w:ilvl w:val="0"/>
          <w:numId w:val="21"/>
        </w:numPr>
      </w:pPr>
      <w:bookmarkStart w:id="26" w:name="_Ref163475821"/>
      <w:r w:rsidRPr="008A32D3">
        <w:t>R4-240</w:t>
      </w:r>
      <w:r w:rsidR="000F74F4">
        <w:t>3493</w:t>
      </w:r>
      <w:r w:rsidRPr="008A32D3">
        <w:t xml:space="preserve">, </w:t>
      </w:r>
      <w:r w:rsidRPr="0062096E">
        <w:t>Reply LS on RAN2 agreements for satellite switch with resync</w:t>
      </w:r>
      <w:r w:rsidRPr="008A32D3">
        <w:t xml:space="preserve">, </w:t>
      </w:r>
      <w:r>
        <w:t>Apple</w:t>
      </w:r>
      <w:r w:rsidRPr="008A32D3">
        <w:t xml:space="preserve">, RAN4#110, Athens, Greece, 26 Feb – 01 </w:t>
      </w:r>
      <w:proofErr w:type="gramStart"/>
      <w:r w:rsidRPr="008A32D3">
        <w:t>Mar,</w:t>
      </w:r>
      <w:proofErr w:type="gramEnd"/>
      <w:r w:rsidRPr="008A32D3">
        <w:t xml:space="preserve"> 2024</w:t>
      </w:r>
      <w:bookmarkEnd w:id="26"/>
    </w:p>
    <w:p w14:paraId="6F1C64B9" w14:textId="77777777" w:rsidR="0062096E" w:rsidRPr="008A32D3" w:rsidRDefault="0062096E" w:rsidP="000F74F4"/>
    <w:p w14:paraId="253B8943" w14:textId="77777777" w:rsidR="008A32D3" w:rsidRPr="0086642C" w:rsidRDefault="008A32D3" w:rsidP="008A32D3">
      <w:pPr>
        <w:pStyle w:val="ListParagraph"/>
        <w:ind w:right="-22"/>
      </w:pPr>
    </w:p>
    <w:sectPr w:rsidR="008A32D3" w:rsidRPr="0086642C" w:rsidSect="00CA1D0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44EFC" w14:textId="77777777" w:rsidR="00CA1D00" w:rsidRDefault="00CA1D00" w:rsidP="00001C9B">
      <w:pPr>
        <w:spacing w:after="0" w:line="240" w:lineRule="auto"/>
      </w:pPr>
      <w:r>
        <w:separator/>
      </w:r>
    </w:p>
  </w:endnote>
  <w:endnote w:type="continuationSeparator" w:id="0">
    <w:p w14:paraId="49A67BBD" w14:textId="77777777" w:rsidR="00CA1D00" w:rsidRDefault="00CA1D00" w:rsidP="00001C9B">
      <w:pPr>
        <w:spacing w:after="0" w:line="240" w:lineRule="auto"/>
      </w:pPr>
      <w:r>
        <w:continuationSeparator/>
      </w:r>
    </w:p>
  </w:endnote>
  <w:endnote w:type="continuationNotice" w:id="1">
    <w:p w14:paraId="17E32683" w14:textId="77777777" w:rsidR="00F045BB" w:rsidRDefault="00F045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F832D" w14:textId="77777777" w:rsidR="00CA1D00" w:rsidRDefault="00CA1D00" w:rsidP="00001C9B">
      <w:pPr>
        <w:spacing w:after="0" w:line="240" w:lineRule="auto"/>
      </w:pPr>
      <w:r>
        <w:separator/>
      </w:r>
    </w:p>
  </w:footnote>
  <w:footnote w:type="continuationSeparator" w:id="0">
    <w:p w14:paraId="747480F4" w14:textId="77777777" w:rsidR="00CA1D00" w:rsidRDefault="00CA1D00" w:rsidP="00001C9B">
      <w:pPr>
        <w:spacing w:after="0" w:line="240" w:lineRule="auto"/>
      </w:pPr>
      <w:r>
        <w:continuationSeparator/>
      </w:r>
    </w:p>
  </w:footnote>
  <w:footnote w:type="continuationNotice" w:id="1">
    <w:p w14:paraId="48986AE0" w14:textId="77777777" w:rsidR="00F045BB" w:rsidRDefault="00F045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21E8E"/>
    <w:multiLevelType w:val="hybridMultilevel"/>
    <w:tmpl w:val="D23E3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A60042"/>
    <w:multiLevelType w:val="hybridMultilevel"/>
    <w:tmpl w:val="70C6CDC6"/>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E71B90"/>
    <w:multiLevelType w:val="hybridMultilevel"/>
    <w:tmpl w:val="10C60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8B0C18"/>
    <w:multiLevelType w:val="hybridMultilevel"/>
    <w:tmpl w:val="8C38A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CE79C1"/>
    <w:multiLevelType w:val="hybridMultilevel"/>
    <w:tmpl w:val="45A09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67C66"/>
    <w:multiLevelType w:val="multilevel"/>
    <w:tmpl w:val="2F649CB2"/>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BE2AAD"/>
    <w:multiLevelType w:val="hybridMultilevel"/>
    <w:tmpl w:val="BEC2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8"/>
  </w:num>
  <w:num w:numId="3" w16cid:durableId="1792749823">
    <w:abstractNumId w:val="14"/>
  </w:num>
  <w:num w:numId="4" w16cid:durableId="517735681">
    <w:abstractNumId w:val="7"/>
  </w:num>
  <w:num w:numId="5" w16cid:durableId="1142041724">
    <w:abstractNumId w:val="18"/>
  </w:num>
  <w:num w:numId="6" w16cid:durableId="80681869">
    <w:abstractNumId w:val="11"/>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1"/>
    <w:lvlOverride w:ilvl="0">
      <w:startOverride w:val="1"/>
    </w:lvlOverride>
  </w:num>
  <w:num w:numId="12" w16cid:durableId="122584543">
    <w:abstractNumId w:val="13"/>
    <w:lvlOverride w:ilvl="0">
      <w:startOverride w:val="1"/>
    </w:lvlOverride>
  </w:num>
  <w:num w:numId="13" w16cid:durableId="818807267">
    <w:abstractNumId w:val="11"/>
    <w:lvlOverride w:ilvl="0">
      <w:startOverride w:val="1"/>
    </w:lvlOverride>
  </w:num>
  <w:num w:numId="14" w16cid:durableId="883829348">
    <w:abstractNumId w:val="13"/>
    <w:lvlOverride w:ilvl="0">
      <w:startOverride w:val="1"/>
    </w:lvlOverride>
  </w:num>
  <w:num w:numId="15" w16cid:durableId="438372887">
    <w:abstractNumId w:val="20"/>
  </w:num>
  <w:num w:numId="16" w16cid:durableId="516113510">
    <w:abstractNumId w:val="5"/>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5"/>
  </w:num>
  <w:num w:numId="22" w16cid:durableId="1938362445">
    <w:abstractNumId w:val="11"/>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640774596">
    <w:abstractNumId w:val="17"/>
  </w:num>
  <w:num w:numId="28" w16cid:durableId="325863479">
    <w:abstractNumId w:val="4"/>
  </w:num>
  <w:num w:numId="29" w16cid:durableId="843668308">
    <w:abstractNumId w:val="19"/>
  </w:num>
  <w:num w:numId="30" w16cid:durableId="1035041917">
    <w:abstractNumId w:val="6"/>
  </w:num>
  <w:num w:numId="31" w16cid:durableId="725684391">
    <w:abstractNumId w:val="0"/>
  </w:num>
  <w:num w:numId="32" w16cid:durableId="378092969">
    <w:abstractNumId w:val="12"/>
  </w:num>
  <w:num w:numId="33" w16cid:durableId="12984860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A1D00"/>
    <w:rsid w:val="00001C74"/>
    <w:rsid w:val="00001C9B"/>
    <w:rsid w:val="000040DC"/>
    <w:rsid w:val="00011784"/>
    <w:rsid w:val="0001415D"/>
    <w:rsid w:val="000151EF"/>
    <w:rsid w:val="000239F5"/>
    <w:rsid w:val="00072CCA"/>
    <w:rsid w:val="00074890"/>
    <w:rsid w:val="0008612A"/>
    <w:rsid w:val="00090E18"/>
    <w:rsid w:val="000946F2"/>
    <w:rsid w:val="000A10BC"/>
    <w:rsid w:val="000A7F53"/>
    <w:rsid w:val="000B0056"/>
    <w:rsid w:val="000C3C7B"/>
    <w:rsid w:val="000D0F93"/>
    <w:rsid w:val="000F74F4"/>
    <w:rsid w:val="00106416"/>
    <w:rsid w:val="00110481"/>
    <w:rsid w:val="001127C9"/>
    <w:rsid w:val="00114498"/>
    <w:rsid w:val="00115B88"/>
    <w:rsid w:val="00132F6A"/>
    <w:rsid w:val="00133913"/>
    <w:rsid w:val="00140221"/>
    <w:rsid w:val="0014161F"/>
    <w:rsid w:val="001642FC"/>
    <w:rsid w:val="0016496B"/>
    <w:rsid w:val="001743E2"/>
    <w:rsid w:val="001745F8"/>
    <w:rsid w:val="001838CF"/>
    <w:rsid w:val="001868EE"/>
    <w:rsid w:val="001A3BA4"/>
    <w:rsid w:val="001A6D1F"/>
    <w:rsid w:val="001B1EA8"/>
    <w:rsid w:val="001C03CB"/>
    <w:rsid w:val="001E30F6"/>
    <w:rsid w:val="00217EE5"/>
    <w:rsid w:val="00235F5C"/>
    <w:rsid w:val="00257FA3"/>
    <w:rsid w:val="00277B56"/>
    <w:rsid w:val="00282A74"/>
    <w:rsid w:val="002A19F5"/>
    <w:rsid w:val="002B4922"/>
    <w:rsid w:val="002B69F3"/>
    <w:rsid w:val="002C22C3"/>
    <w:rsid w:val="002C2D19"/>
    <w:rsid w:val="002D10FA"/>
    <w:rsid w:val="002D4C55"/>
    <w:rsid w:val="002E6DED"/>
    <w:rsid w:val="002F57BF"/>
    <w:rsid w:val="00300956"/>
    <w:rsid w:val="00317187"/>
    <w:rsid w:val="0032499A"/>
    <w:rsid w:val="003341F7"/>
    <w:rsid w:val="00347FEC"/>
    <w:rsid w:val="003509DF"/>
    <w:rsid w:val="00356F45"/>
    <w:rsid w:val="00366B74"/>
    <w:rsid w:val="00381F95"/>
    <w:rsid w:val="003A710A"/>
    <w:rsid w:val="003B659E"/>
    <w:rsid w:val="003C275E"/>
    <w:rsid w:val="003C4FDE"/>
    <w:rsid w:val="003E58DF"/>
    <w:rsid w:val="003F69C7"/>
    <w:rsid w:val="00404C4C"/>
    <w:rsid w:val="0041423F"/>
    <w:rsid w:val="00414F81"/>
    <w:rsid w:val="00436A0F"/>
    <w:rsid w:val="00437150"/>
    <w:rsid w:val="0043750A"/>
    <w:rsid w:val="00447577"/>
    <w:rsid w:val="004732E9"/>
    <w:rsid w:val="004854BB"/>
    <w:rsid w:val="00494493"/>
    <w:rsid w:val="00496606"/>
    <w:rsid w:val="004E27FA"/>
    <w:rsid w:val="004E2C37"/>
    <w:rsid w:val="004E5E66"/>
    <w:rsid w:val="004E7ADB"/>
    <w:rsid w:val="00503B4D"/>
    <w:rsid w:val="00504EE9"/>
    <w:rsid w:val="00514E4F"/>
    <w:rsid w:val="00521576"/>
    <w:rsid w:val="005250E6"/>
    <w:rsid w:val="00542D23"/>
    <w:rsid w:val="0054442C"/>
    <w:rsid w:val="00550285"/>
    <w:rsid w:val="00562492"/>
    <w:rsid w:val="00572A20"/>
    <w:rsid w:val="005836F8"/>
    <w:rsid w:val="005918FA"/>
    <w:rsid w:val="00592A86"/>
    <w:rsid w:val="005A0C5B"/>
    <w:rsid w:val="005B3029"/>
    <w:rsid w:val="005B4801"/>
    <w:rsid w:val="005C23A4"/>
    <w:rsid w:val="005D1CDF"/>
    <w:rsid w:val="005D2BB7"/>
    <w:rsid w:val="005D6FFE"/>
    <w:rsid w:val="005E61A8"/>
    <w:rsid w:val="005F2D2C"/>
    <w:rsid w:val="005F6419"/>
    <w:rsid w:val="0060301D"/>
    <w:rsid w:val="0060543D"/>
    <w:rsid w:val="006104DD"/>
    <w:rsid w:val="006130B5"/>
    <w:rsid w:val="00614DD8"/>
    <w:rsid w:val="00617400"/>
    <w:rsid w:val="0062096E"/>
    <w:rsid w:val="00622A4B"/>
    <w:rsid w:val="00632D29"/>
    <w:rsid w:val="0065321F"/>
    <w:rsid w:val="00664950"/>
    <w:rsid w:val="00681D9D"/>
    <w:rsid w:val="00683220"/>
    <w:rsid w:val="00687FA0"/>
    <w:rsid w:val="006A2467"/>
    <w:rsid w:val="006A3C11"/>
    <w:rsid w:val="006B7010"/>
    <w:rsid w:val="006C3095"/>
    <w:rsid w:val="006E1151"/>
    <w:rsid w:val="006E6311"/>
    <w:rsid w:val="007145FF"/>
    <w:rsid w:val="00715B2A"/>
    <w:rsid w:val="00733B21"/>
    <w:rsid w:val="007450F1"/>
    <w:rsid w:val="00751515"/>
    <w:rsid w:val="007626B7"/>
    <w:rsid w:val="0078212B"/>
    <w:rsid w:val="00784DF6"/>
    <w:rsid w:val="00785232"/>
    <w:rsid w:val="007B186C"/>
    <w:rsid w:val="007C1696"/>
    <w:rsid w:val="007C3ED0"/>
    <w:rsid w:val="007C48C4"/>
    <w:rsid w:val="007C5971"/>
    <w:rsid w:val="007E42DC"/>
    <w:rsid w:val="007F1087"/>
    <w:rsid w:val="007F54B9"/>
    <w:rsid w:val="00806A76"/>
    <w:rsid w:val="00811C9D"/>
    <w:rsid w:val="00816C80"/>
    <w:rsid w:val="00841BCD"/>
    <w:rsid w:val="00847264"/>
    <w:rsid w:val="00851A8E"/>
    <w:rsid w:val="0085365B"/>
    <w:rsid w:val="0086642C"/>
    <w:rsid w:val="008826C1"/>
    <w:rsid w:val="00883DFD"/>
    <w:rsid w:val="0089210C"/>
    <w:rsid w:val="00893D2E"/>
    <w:rsid w:val="008A1BF7"/>
    <w:rsid w:val="008A32D3"/>
    <w:rsid w:val="008A5B0E"/>
    <w:rsid w:val="008B0961"/>
    <w:rsid w:val="008C39F7"/>
    <w:rsid w:val="008F1A6B"/>
    <w:rsid w:val="0090091A"/>
    <w:rsid w:val="009042BD"/>
    <w:rsid w:val="00904FE4"/>
    <w:rsid w:val="00927740"/>
    <w:rsid w:val="00936159"/>
    <w:rsid w:val="00977E1D"/>
    <w:rsid w:val="009B0573"/>
    <w:rsid w:val="009B7B4B"/>
    <w:rsid w:val="009B7C21"/>
    <w:rsid w:val="009C7458"/>
    <w:rsid w:val="009E4E6E"/>
    <w:rsid w:val="00A04992"/>
    <w:rsid w:val="00A147AA"/>
    <w:rsid w:val="00A21D71"/>
    <w:rsid w:val="00A22B78"/>
    <w:rsid w:val="00A25AE5"/>
    <w:rsid w:val="00A26442"/>
    <w:rsid w:val="00A37002"/>
    <w:rsid w:val="00A4355E"/>
    <w:rsid w:val="00A520D9"/>
    <w:rsid w:val="00A54B5C"/>
    <w:rsid w:val="00A64DA0"/>
    <w:rsid w:val="00A92BCD"/>
    <w:rsid w:val="00AA1B0E"/>
    <w:rsid w:val="00AA47B6"/>
    <w:rsid w:val="00AC163B"/>
    <w:rsid w:val="00AC5CA7"/>
    <w:rsid w:val="00AC6058"/>
    <w:rsid w:val="00AE2BA5"/>
    <w:rsid w:val="00AE56B1"/>
    <w:rsid w:val="00AE5976"/>
    <w:rsid w:val="00AE6D09"/>
    <w:rsid w:val="00AF7A7C"/>
    <w:rsid w:val="00B02070"/>
    <w:rsid w:val="00B408B6"/>
    <w:rsid w:val="00B501F7"/>
    <w:rsid w:val="00B542DA"/>
    <w:rsid w:val="00B73862"/>
    <w:rsid w:val="00B73F43"/>
    <w:rsid w:val="00B75BBF"/>
    <w:rsid w:val="00B81CDC"/>
    <w:rsid w:val="00BA308C"/>
    <w:rsid w:val="00BA6B66"/>
    <w:rsid w:val="00BA6E48"/>
    <w:rsid w:val="00BE0AF6"/>
    <w:rsid w:val="00BE1F03"/>
    <w:rsid w:val="00BE58A7"/>
    <w:rsid w:val="00BF2218"/>
    <w:rsid w:val="00C0426B"/>
    <w:rsid w:val="00C045DF"/>
    <w:rsid w:val="00C26D43"/>
    <w:rsid w:val="00C35173"/>
    <w:rsid w:val="00C46548"/>
    <w:rsid w:val="00C574D5"/>
    <w:rsid w:val="00C73F32"/>
    <w:rsid w:val="00C87462"/>
    <w:rsid w:val="00CA180C"/>
    <w:rsid w:val="00CA1D00"/>
    <w:rsid w:val="00CB22B2"/>
    <w:rsid w:val="00CC3EE2"/>
    <w:rsid w:val="00CD7492"/>
    <w:rsid w:val="00CE3A6B"/>
    <w:rsid w:val="00D00211"/>
    <w:rsid w:val="00D006D1"/>
    <w:rsid w:val="00D025AE"/>
    <w:rsid w:val="00D06309"/>
    <w:rsid w:val="00D351EA"/>
    <w:rsid w:val="00D37E1D"/>
    <w:rsid w:val="00D40288"/>
    <w:rsid w:val="00D43403"/>
    <w:rsid w:val="00D50A6B"/>
    <w:rsid w:val="00D5270B"/>
    <w:rsid w:val="00D62E71"/>
    <w:rsid w:val="00D6430D"/>
    <w:rsid w:val="00D66188"/>
    <w:rsid w:val="00D731F6"/>
    <w:rsid w:val="00D740CA"/>
    <w:rsid w:val="00D85728"/>
    <w:rsid w:val="00D95481"/>
    <w:rsid w:val="00DC7A13"/>
    <w:rsid w:val="00DE7064"/>
    <w:rsid w:val="00DF2997"/>
    <w:rsid w:val="00E0474D"/>
    <w:rsid w:val="00E10BC4"/>
    <w:rsid w:val="00E1415D"/>
    <w:rsid w:val="00E213BD"/>
    <w:rsid w:val="00E323E9"/>
    <w:rsid w:val="00E32FB6"/>
    <w:rsid w:val="00E34018"/>
    <w:rsid w:val="00E437D2"/>
    <w:rsid w:val="00E43BF9"/>
    <w:rsid w:val="00E50952"/>
    <w:rsid w:val="00E51930"/>
    <w:rsid w:val="00E55751"/>
    <w:rsid w:val="00E7398E"/>
    <w:rsid w:val="00EA2311"/>
    <w:rsid w:val="00EC7BC3"/>
    <w:rsid w:val="00ED7600"/>
    <w:rsid w:val="00EF6073"/>
    <w:rsid w:val="00EF698B"/>
    <w:rsid w:val="00F045BB"/>
    <w:rsid w:val="00F1362C"/>
    <w:rsid w:val="00F414F1"/>
    <w:rsid w:val="00F508B8"/>
    <w:rsid w:val="00F72CB1"/>
    <w:rsid w:val="00F8215E"/>
    <w:rsid w:val="00F824F5"/>
    <w:rsid w:val="00F90FAB"/>
    <w:rsid w:val="00F9374D"/>
    <w:rsid w:val="00FB0590"/>
    <w:rsid w:val="00FC29B9"/>
    <w:rsid w:val="00FC6FD3"/>
    <w:rsid w:val="00FE1FED"/>
    <w:rsid w:val="00FE305C"/>
    <w:rsid w:val="00FF0301"/>
    <w:rsid w:val="00FF4578"/>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EA4D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952"/>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E0474D"/>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PlaceholderText">
    <w:name w:val="Placeholder Text"/>
    <w:basedOn w:val="DefaultParagraphFont"/>
    <w:uiPriority w:val="99"/>
    <w:semiHidden/>
    <w:rsid w:val="005F2D2C"/>
    <w:rPr>
      <w:color w:val="666666"/>
    </w:rPr>
  </w:style>
  <w:style w:type="character" w:customStyle="1" w:styleId="CaptionChar1">
    <w:name w:val="Caption Char1"/>
    <w:aliases w:val="cap Char1,cap Char Char,Caption Char Char,Caption Char1 Char Char,cap Char Char1 Char,Caption Char Char1 Char Char,cap Char2 Char,题注 Char"/>
    <w:uiPriority w:val="35"/>
    <w:rsid w:val="00074890"/>
    <w:rPr>
      <w:rFonts w:asciiTheme="minorHAnsi" w:eastAsiaTheme="minorHAnsi" w:hAnsiTheme="minorHAnsi" w:cstheme="minorBidi"/>
      <w:b/>
      <w:sz w:val="22"/>
      <w:szCs w:val="22"/>
      <w:lang w:val="da-DK"/>
    </w:rPr>
  </w:style>
  <w:style w:type="paragraph" w:styleId="Header">
    <w:name w:val="header"/>
    <w:basedOn w:val="Normal"/>
    <w:link w:val="HeaderChar"/>
    <w:uiPriority w:val="99"/>
    <w:unhideWhenUsed/>
    <w:rsid w:val="00F045BB"/>
    <w:pPr>
      <w:tabs>
        <w:tab w:val="center" w:pos="4819"/>
        <w:tab w:val="right" w:pos="9638"/>
      </w:tabs>
      <w:spacing w:after="0" w:line="240" w:lineRule="auto"/>
    </w:pPr>
  </w:style>
  <w:style w:type="character" w:customStyle="1" w:styleId="HeaderChar">
    <w:name w:val="Header Char"/>
    <w:basedOn w:val="DefaultParagraphFont"/>
    <w:link w:val="Header"/>
    <w:uiPriority w:val="99"/>
    <w:rsid w:val="00F045BB"/>
    <w:rPr>
      <w:rFonts w:ascii="Times New Roman" w:hAnsi="Times New Roman"/>
      <w:sz w:val="20"/>
      <w:lang w:val="en-GB"/>
    </w:rPr>
  </w:style>
  <w:style w:type="paragraph" w:styleId="Footer">
    <w:name w:val="footer"/>
    <w:basedOn w:val="Normal"/>
    <w:link w:val="FooterChar"/>
    <w:uiPriority w:val="99"/>
    <w:unhideWhenUsed/>
    <w:rsid w:val="00F045BB"/>
    <w:pPr>
      <w:tabs>
        <w:tab w:val="center" w:pos="4819"/>
        <w:tab w:val="right" w:pos="9638"/>
      </w:tabs>
      <w:spacing w:after="0" w:line="240" w:lineRule="auto"/>
    </w:pPr>
  </w:style>
  <w:style w:type="character" w:customStyle="1" w:styleId="FooterChar">
    <w:name w:val="Footer Char"/>
    <w:basedOn w:val="DefaultParagraphFont"/>
    <w:link w:val="Footer"/>
    <w:uiPriority w:val="99"/>
    <w:rsid w:val="00F045BB"/>
    <w:rPr>
      <w:rFonts w:ascii="Times New Roman" w:hAnsi="Times New Roman"/>
      <w:sz w:val="20"/>
      <w:lang w:val="en-GB"/>
    </w:rPr>
  </w:style>
  <w:style w:type="character" w:customStyle="1" w:styleId="B1Char">
    <w:name w:val="B1 Char"/>
    <w:link w:val="B1"/>
    <w:qFormat/>
    <w:locked/>
    <w:rsid w:val="00FB0590"/>
    <w:rPr>
      <w:kern w:val="2"/>
      <w14:ligatures w14:val="standardContextual"/>
    </w:rPr>
  </w:style>
  <w:style w:type="paragraph" w:customStyle="1" w:styleId="B1">
    <w:name w:val="B1"/>
    <w:basedOn w:val="List"/>
    <w:link w:val="B1Char"/>
    <w:rsid w:val="00FB0590"/>
    <w:pPr>
      <w:spacing w:line="256" w:lineRule="auto"/>
      <w:ind w:left="568" w:hanging="284"/>
      <w:contextualSpacing w:val="0"/>
    </w:pPr>
    <w:rPr>
      <w:rFonts w:asciiTheme="minorHAnsi" w:hAnsiTheme="minorHAnsi"/>
      <w:kern w:val="2"/>
      <w:sz w:val="22"/>
      <w:lang w:val="en-US"/>
      <w14:ligatures w14:val="standardContextual"/>
    </w:rPr>
  </w:style>
  <w:style w:type="paragraph" w:styleId="List">
    <w:name w:val="List"/>
    <w:basedOn w:val="Normal"/>
    <w:uiPriority w:val="99"/>
    <w:semiHidden/>
    <w:unhideWhenUsed/>
    <w:rsid w:val="00FB059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176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RBI5PAMIO524-1616901215-19057</_dlc_DocId>
    <HideFromDelve xmlns="71c5aaf6-e6ce-465b-b873-5148d2a4c105">false</HideFromDelve>
    <Comments xmlns="3f2ce089-3858-4176-9a21-a30f9204848e">OK</Comments>
    <_dlc_DocIdUrl xmlns="71c5aaf6-e6ce-465b-b873-5148d2a4c105">
      <Url>https://nokia.sharepoint.com/sites/gxp/_layouts/15/DocIdRedir.aspx?ID=RBI5PAMIO524-1616901215-19057</Url>
      <Description>RBI5PAMIO524-1616901215-19057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224024EB-595E-4580-96B6-5D04E0C6A276}"/>
</file>

<file path=customXml/itemProps3.xml><?xml version="1.0" encoding="utf-8"?>
<ds:datastoreItem xmlns:ds="http://schemas.openxmlformats.org/officeDocument/2006/customXml" ds:itemID="{8FDA1F96-495A-4F00-96BF-0F34C9EF934F}"/>
</file>

<file path=customXml/itemProps4.xml><?xml version="1.0" encoding="utf-8"?>
<ds:datastoreItem xmlns:ds="http://schemas.openxmlformats.org/officeDocument/2006/customXml" ds:itemID="{BD616657-12BA-42A2-B913-B341CDBEFE77}"/>
</file>

<file path=customXml/itemProps5.xml><?xml version="1.0" encoding="utf-8"?>
<ds:datastoreItem xmlns:ds="http://schemas.openxmlformats.org/officeDocument/2006/customXml" ds:itemID="{C92BBA43-BD06-4595-BFAA-E181DB4EF6C9}"/>
</file>

<file path=customXml/itemProps6.xml><?xml version="1.0" encoding="utf-8"?>
<ds:datastoreItem xmlns:ds="http://schemas.openxmlformats.org/officeDocument/2006/customXml" ds:itemID="{68D0D14F-01C0-4389-A9A1-3BBDB9F5B580}"/>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1500</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2024-04-08T18:07:00Z</dcterms:created>
  <dcterms:modified xsi:type="dcterms:W3CDTF">2024-04-08T18:07:00Z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71b97268-ba43-4a84-b975-50b1256868a0</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